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C" w:rsidRDefault="00AE53EC" w:rsidP="00AE53EC">
      <w:pPr>
        <w:pStyle w:val="3"/>
        <w:rPr>
          <w:rFonts w:eastAsia="Times New Roman"/>
        </w:rPr>
      </w:pPr>
      <w:r>
        <w:rPr>
          <w:rFonts w:eastAsia="Times New Roman"/>
        </w:rPr>
        <w:t>Приказ о Порядке проведения профилактических медицинских осмотров обучающихся в целях раннего выявления незаконного потребления наркотических средств и психотропных веществ</w:t>
      </w:r>
    </w:p>
    <w:p w:rsidR="00AE53EC" w:rsidRDefault="00AE53EC" w:rsidP="00AE53EC">
      <w:pPr>
        <w:pStyle w:val="a3"/>
      </w:pPr>
      <w:r>
        <w:t>Приказ Министерства здравоохранения Российской Федерации (Минздрав России) от 6 октября 2014 г. N 581н г. Москва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</w:r>
    </w:p>
    <w:p w:rsidR="00AE53EC" w:rsidRDefault="00AE53EC" w:rsidP="00AE53EC">
      <w:pPr>
        <w:pStyle w:val="a3"/>
      </w:pPr>
      <w:r>
        <w:t>Дата подписания: 06.10.2014</w:t>
      </w:r>
    </w:p>
    <w:p w:rsidR="00AE53EC" w:rsidRDefault="00AE53EC" w:rsidP="00AE53EC">
      <w:pPr>
        <w:pStyle w:val="a3"/>
      </w:pPr>
      <w:r>
        <w:t>Дата публикации: 30.12.2014 00:00</w:t>
      </w:r>
    </w:p>
    <w:p w:rsidR="00AE53EC" w:rsidRDefault="00AE53EC" w:rsidP="00AE53EC">
      <w:pPr>
        <w:pStyle w:val="a3"/>
      </w:pPr>
      <w:r>
        <w:rPr>
          <w:b/>
          <w:bCs/>
        </w:rPr>
        <w:t>Зарегистрирован в Минюсте РФ 24 декабря 2014 г.</w:t>
      </w:r>
    </w:p>
    <w:p w:rsidR="00AE53EC" w:rsidRDefault="00AE53EC" w:rsidP="00AE53EC">
      <w:pPr>
        <w:pStyle w:val="a3"/>
      </w:pPr>
      <w:r>
        <w:rPr>
          <w:b/>
          <w:bCs/>
        </w:rPr>
        <w:t>Регистрационный N 35345</w:t>
      </w:r>
    </w:p>
    <w:p w:rsidR="00AE53EC" w:rsidRDefault="00AE53EC" w:rsidP="00AE53EC">
      <w:pPr>
        <w:pStyle w:val="a3"/>
      </w:pPr>
      <w:r>
        <w:t xml:space="preserve"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</w:t>
      </w:r>
      <w:r>
        <w:rPr>
          <w:b/>
          <w:bCs/>
        </w:rPr>
        <w:t>приказываю:</w:t>
      </w:r>
    </w:p>
    <w:p w:rsidR="00AE53EC" w:rsidRDefault="00AE53EC" w:rsidP="00AE53EC">
      <w:pPr>
        <w:pStyle w:val="a3"/>
      </w:pPr>
      <w:r>
        <w:t>Утвердить прилагаемый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AE53EC" w:rsidRDefault="00AE53EC" w:rsidP="00AE53EC">
      <w:pPr>
        <w:pStyle w:val="a3"/>
      </w:pPr>
      <w:r>
        <w:rPr>
          <w:b/>
          <w:bCs/>
        </w:rPr>
        <w:t>Министр В. Скворцова</w:t>
      </w:r>
    </w:p>
    <w:p w:rsidR="00AE53EC" w:rsidRDefault="00AE53EC" w:rsidP="00AE53EC">
      <w:pPr>
        <w:pStyle w:val="a3"/>
        <w:jc w:val="both"/>
      </w:pPr>
      <w:r>
        <w:rPr>
          <w:b/>
          <w:bCs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</w:t>
      </w:r>
      <w:r>
        <w:t xml:space="preserve"> </w:t>
      </w:r>
      <w:r>
        <w:rPr>
          <w:b/>
          <w:bCs/>
        </w:rPr>
        <w:t>и психотропных веществ</w:t>
      </w:r>
    </w:p>
    <w:p w:rsidR="00AE53EC" w:rsidRDefault="00AE53EC" w:rsidP="00AE53EC">
      <w:pPr>
        <w:pStyle w:val="a3"/>
        <w:jc w:val="both"/>
      </w:pPr>
      <w: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</w:t>
      </w:r>
      <w:r>
        <w:rPr>
          <w:vertAlign w:val="superscript"/>
        </w:rPr>
        <w:t>1</w:t>
      </w:r>
      <w:r>
        <w:t xml:space="preserve"> (далее - профилактические медицинские осмотры).</w:t>
      </w:r>
    </w:p>
    <w:p w:rsidR="00AE53EC" w:rsidRDefault="00AE53EC" w:rsidP="00AE53EC">
      <w:pPr>
        <w:pStyle w:val="a3"/>
        <w:jc w:val="both"/>
      </w:pPr>
      <w: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AE53EC" w:rsidRDefault="00AE53EC" w:rsidP="00AE53EC">
      <w:pPr>
        <w:pStyle w:val="a3"/>
        <w:jc w:val="both"/>
      </w:pPr>
      <w:r>
        <w:t>3. Профилактические медицинские осмотры проводятся в отношении обучающихся, достигших возраста тринадцати лет.</w:t>
      </w:r>
    </w:p>
    <w:p w:rsidR="00AE53EC" w:rsidRDefault="00AE53EC" w:rsidP="00AE53EC">
      <w:pPr>
        <w:pStyle w:val="a3"/>
        <w:jc w:val="both"/>
      </w:pPr>
      <w:r>
        <w:lastRenderedPageBreak/>
        <w:t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AE53EC" w:rsidRDefault="00AE53EC" w:rsidP="00AE53EC">
      <w:pPr>
        <w:pStyle w:val="a3"/>
        <w:jc w:val="both"/>
      </w:pPr>
      <w: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AE53EC" w:rsidRDefault="00AE53EC" w:rsidP="00AE53EC">
      <w:pPr>
        <w:pStyle w:val="a3"/>
        <w:jc w:val="both"/>
      </w:pPr>
      <w: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AE53EC" w:rsidRDefault="00AE53EC" w:rsidP="00AE53EC">
      <w:pPr>
        <w:pStyle w:val="a3"/>
        <w:jc w:val="both"/>
      </w:pPr>
      <w:r>
        <w:t>7. Список образовательных организаций, участвующих в проведении профилактических медицинских осмотров, не позднее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AE53EC" w:rsidRDefault="00AE53EC" w:rsidP="00AE53EC">
      <w:pPr>
        <w:pStyle w:val="a3"/>
        <w:jc w:val="both"/>
      </w:pPr>
      <w: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AE53EC" w:rsidRDefault="00AE53EC" w:rsidP="00AE53EC">
      <w:pPr>
        <w:pStyle w:val="a3"/>
        <w:jc w:val="both"/>
      </w:pPr>
      <w: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AE53EC" w:rsidRDefault="00AE53EC" w:rsidP="00AE53EC">
      <w:pPr>
        <w:pStyle w:val="a3"/>
        <w:jc w:val="both"/>
      </w:pPr>
      <w:r>
        <w:t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AE53EC" w:rsidRDefault="00AE53EC" w:rsidP="00AE53EC">
      <w:pPr>
        <w:pStyle w:val="a3"/>
        <w:jc w:val="both"/>
      </w:pPr>
      <w: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AE53EC" w:rsidRDefault="00AE53EC" w:rsidP="00AE53EC">
      <w:pPr>
        <w:pStyle w:val="a3"/>
        <w:jc w:val="both"/>
      </w:pPr>
      <w:r>
        <w:t xml:space="preserve"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</w:t>
      </w:r>
      <w:r>
        <w:lastRenderedPageBreak/>
        <w:t>доводится до сведения медицинских работников, участвующих в проведении профилактических медицинских осмотров.</w:t>
      </w:r>
    </w:p>
    <w:p w:rsidR="00AE53EC" w:rsidRDefault="00AE53EC" w:rsidP="00AE53EC">
      <w:pPr>
        <w:pStyle w:val="a3"/>
        <w:jc w:val="both"/>
      </w:pPr>
      <w: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AE53EC" w:rsidRDefault="00AE53EC" w:rsidP="00AE53EC">
      <w:pPr>
        <w:pStyle w:val="a3"/>
        <w:jc w:val="both"/>
      </w:pPr>
      <w: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AE53EC" w:rsidRDefault="00AE53EC" w:rsidP="00AE53EC">
      <w:pPr>
        <w:pStyle w:val="a3"/>
        <w:jc w:val="both"/>
      </w:pPr>
      <w:r>
        <w:t>15. Профилактический медицинский осмотр проводится в медицинской организации в четыре этапа:</w:t>
      </w:r>
    </w:p>
    <w:p w:rsidR="00AE53EC" w:rsidRDefault="00AE53EC" w:rsidP="00AE53EC">
      <w:pPr>
        <w:pStyle w:val="a3"/>
        <w:jc w:val="both"/>
      </w:pPr>
      <w: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AE53EC" w:rsidRDefault="00AE53EC" w:rsidP="00AE53EC">
      <w:pPr>
        <w:pStyle w:val="a3"/>
        <w:jc w:val="both"/>
      </w:pPr>
      <w: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AE53EC" w:rsidRDefault="00AE53EC" w:rsidP="00AE53EC">
      <w:pPr>
        <w:pStyle w:val="a3"/>
        <w:jc w:val="both"/>
      </w:pPr>
      <w: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AE53EC" w:rsidRDefault="00AE53EC" w:rsidP="00AE53EC">
      <w:pPr>
        <w:pStyle w:val="a3"/>
        <w:jc w:val="both"/>
      </w:pPr>
      <w: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AE53EC" w:rsidRDefault="00AE53EC" w:rsidP="00AE53EC">
      <w:pPr>
        <w:pStyle w:val="a3"/>
        <w:jc w:val="both"/>
      </w:pPr>
      <w: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</w:t>
      </w:r>
      <w:r>
        <w:rPr>
          <w:vertAlign w:val="superscript"/>
        </w:rPr>
        <w:t xml:space="preserve">2 </w:t>
      </w:r>
      <w:r>
        <w:t>- в отношении совершеннолетних обучающихся).</w:t>
      </w:r>
    </w:p>
    <w:p w:rsidR="00AE53EC" w:rsidRDefault="00AE53EC" w:rsidP="00AE53EC">
      <w:pPr>
        <w:pStyle w:val="a3"/>
        <w:jc w:val="both"/>
      </w:pPr>
      <w: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AE53EC" w:rsidRDefault="00AE53EC" w:rsidP="00AE53EC">
      <w:pPr>
        <w:pStyle w:val="a3"/>
        <w:jc w:val="both"/>
      </w:pPr>
      <w:r>
        <w:lastRenderedPageBreak/>
        <w:t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AE53EC" w:rsidRDefault="00AE53EC" w:rsidP="00AE53EC">
      <w:pPr>
        <w:pStyle w:val="a3"/>
        <w:jc w:val="both"/>
      </w:pPr>
      <w:r>
        <w:t>19. 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AE53EC" w:rsidRDefault="00AE53EC" w:rsidP="00AE53EC">
      <w:pPr>
        <w:pStyle w:val="a3"/>
        <w:jc w:val="both"/>
      </w:pPr>
      <w:r>
        <w:t>20. Результаты предварительных ХТИ заносятся в журнал регистрации отбора биологических объектов</w:t>
      </w:r>
      <w:r>
        <w:rPr>
          <w:vertAlign w:val="superscript"/>
        </w:rPr>
        <w:t>3</w:t>
      </w:r>
      <w:r>
        <w:t>.</w:t>
      </w:r>
    </w:p>
    <w:p w:rsidR="00AE53EC" w:rsidRDefault="00AE53EC" w:rsidP="00AE53EC">
      <w:pPr>
        <w:pStyle w:val="a3"/>
        <w:jc w:val="both"/>
      </w:pPr>
      <w: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AE53EC" w:rsidRDefault="00AE53EC" w:rsidP="00AE53EC">
      <w:pPr>
        <w:pStyle w:val="a3"/>
        <w:jc w:val="both"/>
      </w:pPr>
      <w:r>
        <w:t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AE53EC" w:rsidRDefault="00AE53EC" w:rsidP="00AE53EC">
      <w:pPr>
        <w:pStyle w:val="a3"/>
        <w:jc w:val="both"/>
      </w:pPr>
      <w:r>
        <w:t>23. Подтверждающие ХТИ проводятся в химико-токсикологической лаборатории медицинской организации методом хроматомасс-спектрометрии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AE53EC" w:rsidRDefault="00AE53EC" w:rsidP="00AE53EC">
      <w:pPr>
        <w:pStyle w:val="a3"/>
        <w:jc w:val="both"/>
      </w:pPr>
      <w: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AE53EC" w:rsidRDefault="00AE53EC" w:rsidP="00AE53EC">
      <w:pPr>
        <w:pStyle w:val="a3"/>
        <w:jc w:val="both"/>
      </w:pPr>
      <w:r>
        <w:t>25. По результатам подтверждающих ХТИ оформляется справка о результатах химико-токсикологического исследования</w:t>
      </w:r>
      <w:r>
        <w:rPr>
          <w:vertAlign w:val="superscript"/>
        </w:rPr>
        <w:t>4</w:t>
      </w:r>
      <w:r>
        <w:t>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AE53EC" w:rsidRDefault="00AE53EC" w:rsidP="00AE53EC">
      <w:pPr>
        <w:pStyle w:val="a3"/>
        <w:jc w:val="both"/>
      </w:pPr>
      <w:r>
        <w:t>26. При получении отрицательных результатов подтверждающих ХТИ профилактический медицинский осмотр обучающегося считается завершенным.</w:t>
      </w:r>
    </w:p>
    <w:p w:rsidR="00AE53EC" w:rsidRDefault="00AE53EC" w:rsidP="00AE53EC">
      <w:pPr>
        <w:pStyle w:val="a3"/>
        <w:jc w:val="both"/>
      </w:pPr>
      <w:r>
        <w:t xml:space="preserve">27. 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</w:t>
      </w:r>
      <w:r>
        <w:lastRenderedPageBreak/>
        <w:t>Федерации по согласованию с Министерством образования и науки Российской Федерации</w:t>
      </w:r>
      <w:r>
        <w:rPr>
          <w:vertAlign w:val="superscript"/>
        </w:rPr>
        <w:t>5</w:t>
      </w:r>
      <w:r>
        <w:t>.</w:t>
      </w:r>
    </w:p>
    <w:p w:rsidR="00AE53EC" w:rsidRDefault="00AE53EC" w:rsidP="00AE53EC">
      <w:pPr>
        <w:pStyle w:val="a3"/>
        <w:jc w:val="both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Постановление Правительства Российской Федерации от 30 июня 1998 г. N681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N27, ст. 3198; 2004, N8, ст. 663, N47,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N29, ст. 4466; N29, ст. 4473; N42, ст. 5921; N51,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1626).</w:t>
      </w:r>
    </w:p>
    <w:p w:rsidR="00AE53EC" w:rsidRDefault="00AE53EC" w:rsidP="00AE53EC">
      <w:pPr>
        <w:pStyle w:val="a3"/>
        <w:jc w:val="both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AE53EC" w:rsidRDefault="00AE53EC" w:rsidP="00AE53EC">
      <w:pPr>
        <w:pStyle w:val="a3"/>
        <w:jc w:val="both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AE53EC" w:rsidRDefault="00AE53EC" w:rsidP="00AE53EC">
      <w:pPr>
        <w:pStyle w:val="a3"/>
        <w:jc w:val="both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Учетная форма N454/у-06, утвержденная приказом Министерства здравоохранения и социального развития Российской Федерации от 27 января 2006 г. N 40.</w:t>
      </w:r>
    </w:p>
    <w:p w:rsidR="00AE53EC" w:rsidRDefault="00AE53EC" w:rsidP="00AE53EC">
      <w:pPr>
        <w:pStyle w:val="a3"/>
        <w:jc w:val="both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AE53EC" w:rsidRDefault="00AE53EC" w:rsidP="00AE53EC">
      <w:pPr>
        <w:pStyle w:val="a3"/>
        <w:jc w:val="both"/>
      </w:pPr>
      <w:r>
        <w:rPr>
          <w:sz w:val="20"/>
          <w:szCs w:val="20"/>
        </w:rPr>
        <w:t>Материал опубликован по адресу: http://www.rg.ru/2014/12/30/medosmotr-dok.html</w:t>
      </w:r>
    </w:p>
    <w:p w:rsidR="005F4F12" w:rsidRDefault="005F4F12" w:rsidP="00AE53EC">
      <w:pPr>
        <w:jc w:val="both"/>
      </w:pPr>
    </w:p>
    <w:sectPr w:rsidR="005F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E53EC"/>
    <w:rsid w:val="005F4F12"/>
    <w:rsid w:val="00AE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3E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E53E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3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E53E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53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11133</Characters>
  <Application>Microsoft Office Word</Application>
  <DocSecurity>0</DocSecurity>
  <Lines>92</Lines>
  <Paragraphs>26</Paragraphs>
  <ScaleCrop>false</ScaleCrop>
  <Company>HOME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2015-02-09T12:24:00Z</dcterms:created>
  <dcterms:modified xsi:type="dcterms:W3CDTF">2015-02-09T12:26:00Z</dcterms:modified>
</cp:coreProperties>
</file>