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Министерство образования Тверской области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Муниципальное бюджетное общеобразовательное учреждение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«Средняя школа № 45 с углубленным изучением отдельных предметов естественнонаучной направленности»</w:t>
      </w: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9"/>
        <w:gridCol w:w="4726"/>
      </w:tblGrid>
      <w:tr w:rsidR="00E33103" w:rsidRPr="00F92326" w:rsidTr="001E7C91">
        <w:trPr>
          <w:jc w:val="center"/>
        </w:trPr>
        <w:tc>
          <w:tcPr>
            <w:tcW w:w="4785" w:type="dxa"/>
            <w:hideMark/>
          </w:tcPr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786" w:type="dxa"/>
            <w:hideMark/>
          </w:tcPr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FFFFFF"/>
                <w:szCs w:val="24"/>
                <w:lang w:val="ru-RU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Приложение </w:t>
            </w:r>
          </w:p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>к ООП ООО</w:t>
            </w:r>
          </w:p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утвержденной </w:t>
            </w:r>
          </w:p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79/1  «18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июня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г.                                                                   директор МБОУ СШ №45</w:t>
            </w:r>
          </w:p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____________Н.Н. Раклистова </w:t>
            </w:r>
          </w:p>
          <w:p w:rsidR="00E33103" w:rsidRPr="00F92326" w:rsidRDefault="00E33103" w:rsidP="001E7C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:rsidR="00E33103" w:rsidRPr="00F92326" w:rsidRDefault="00D44604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437EFBF" wp14:editId="20F56E18">
            <wp:simplePos x="0" y="0"/>
            <wp:positionH relativeFrom="column">
              <wp:posOffset>2691765</wp:posOffset>
            </wp:positionH>
            <wp:positionV relativeFrom="paragraph">
              <wp:posOffset>18415</wp:posOffset>
            </wp:positionV>
            <wp:extent cx="3333333" cy="1285714"/>
            <wp:effectExtent l="0" t="0" r="635" b="0"/>
            <wp:wrapThrough wrapText="bothSides">
              <wp:wrapPolygon edited="0">
                <wp:start x="0" y="0"/>
                <wp:lineTo x="0" y="21130"/>
                <wp:lineTo x="21481" y="21130"/>
                <wp:lineTo x="214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D44604" w:rsidRDefault="00D44604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</w:p>
    <w:p w:rsidR="00D44604" w:rsidRDefault="00D44604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</w:p>
    <w:p w:rsidR="00D44604" w:rsidRDefault="00D44604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Рабочая программа курса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 xml:space="preserve"> внеурочной деятельности 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Cs w:val="24"/>
          <w:lang w:val="ru-RU"/>
        </w:rPr>
        <w:t>социальное</w:t>
      </w:r>
      <w:r w:rsidRPr="00F92326">
        <w:rPr>
          <w:rFonts w:ascii="Times New Roman" w:eastAsia="Times New Roman" w:hAnsi="Times New Roman" w:cs="Times New Roman"/>
          <w:szCs w:val="24"/>
          <w:lang w:val="ru-RU"/>
        </w:rPr>
        <w:t xml:space="preserve"> направление)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bookmarkStart w:id="0" w:name="_GoBack"/>
      <w:bookmarkEnd w:id="0"/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u w:val="single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szCs w:val="24"/>
          <w:u w:val="single"/>
          <w:lang w:val="ru-RU"/>
        </w:rPr>
        <w:t>Орлята России</w:t>
      </w:r>
      <w:r w:rsidRPr="00F92326">
        <w:rPr>
          <w:rFonts w:ascii="Times New Roman" w:eastAsia="Times New Roman" w:hAnsi="Times New Roman" w:cs="Times New Roman"/>
          <w:szCs w:val="24"/>
          <w:u w:val="single"/>
          <w:lang w:val="ru-RU"/>
        </w:rPr>
        <w:t>»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/>
        </w:rPr>
        <w:t xml:space="preserve">                                </w:t>
      </w: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E33103" w:rsidRPr="00F92326" w:rsidRDefault="00E33103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lang w:val="ru-RU"/>
        </w:rPr>
        <w:t>Срок реализации –1 год</w:t>
      </w:r>
    </w:p>
    <w:p w:rsidR="00E33103" w:rsidRPr="00F92326" w:rsidRDefault="00C02F0B" w:rsidP="00E3310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E33103" w:rsidRPr="00F92326">
        <w:rPr>
          <w:rFonts w:ascii="Times New Roman" w:eastAsia="Times New Roman" w:hAnsi="Times New Roman" w:cs="Times New Roman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Cs w:val="24"/>
          <w:lang w:val="ru-RU"/>
        </w:rPr>
        <w:t>4</w:t>
      </w:r>
      <w:r w:rsidR="00E33103" w:rsidRPr="00F92326">
        <w:rPr>
          <w:rFonts w:ascii="Times New Roman" w:eastAsia="Times New Roman" w:hAnsi="Times New Roman" w:cs="Times New Roman"/>
          <w:szCs w:val="24"/>
          <w:lang w:val="ru-RU"/>
        </w:rPr>
        <w:t xml:space="preserve"> класс</w:t>
      </w: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/>
        </w:rPr>
      </w:pPr>
    </w:p>
    <w:p w:rsidR="00E33103" w:rsidRPr="00F92326" w:rsidRDefault="00E33103" w:rsidP="00E33103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E33103" w:rsidRPr="00F92326" w:rsidRDefault="00E33103" w:rsidP="00E33103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E33103" w:rsidRPr="00F92326" w:rsidRDefault="00E33103" w:rsidP="00E33103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</w:t>
      </w:r>
    </w:p>
    <w:p w:rsidR="00E33103" w:rsidRPr="00F92326" w:rsidRDefault="00E33103" w:rsidP="00D44604">
      <w:pPr>
        <w:shd w:val="clear" w:color="auto" w:fill="FFFFFF"/>
        <w:spacing w:before="188"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E33103" w:rsidRPr="00F92326" w:rsidRDefault="00E33103" w:rsidP="00E33103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E33103" w:rsidRPr="00F92326" w:rsidRDefault="00E33103" w:rsidP="00E33103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>г. Тверь, 202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5</w:t>
      </w: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г.</w:t>
      </w:r>
    </w:p>
    <w:p w:rsidR="00E33103" w:rsidRDefault="00E33103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1E7C9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1E7C91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1E7C91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1E7C91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1E7C9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1E7C91">
      <w:pPr>
        <w:pStyle w:val="a9"/>
        <w:spacing w:line="276" w:lineRule="auto"/>
        <w:ind w:right="116" w:firstLine="567"/>
        <w:jc w:val="both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1"/>
    <w:p w:rsidR="002F6921" w:rsidRDefault="002F6921" w:rsidP="001E7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B218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D44604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D44604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B2189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D44604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44604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44604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44604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D44604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D44604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D44604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D44604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D44604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D44604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D44604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D44604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D4460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D4460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D44604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D44604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4460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D4460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D44604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D4460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D44604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D44604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D44604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D4460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D44604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D44604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D44604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D44604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D44604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D44604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D44604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4460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D4460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D44604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4460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4460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D44604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D44604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D44604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44604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4460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D44604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D44604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D44604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D4460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44604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4460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4460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D44604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4D423F">
        <w:trPr>
          <w:trHeight w:val="5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D44604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4D423F">
        <w:trPr>
          <w:trHeight w:val="1675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44604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D44604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Наше сообщество в ВК: </w:t>
      </w:r>
    </w:p>
    <w:p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24" w:rsidRDefault="008F2524" w:rsidP="00A3111A">
      <w:pPr>
        <w:spacing w:after="0" w:line="240" w:lineRule="auto"/>
      </w:pPr>
      <w:r>
        <w:separator/>
      </w:r>
    </w:p>
  </w:endnote>
  <w:endnote w:type="continuationSeparator" w:id="0">
    <w:p w:rsidR="008F2524" w:rsidRDefault="008F2524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24" w:rsidRDefault="008F2524" w:rsidP="00A3111A">
      <w:pPr>
        <w:spacing w:after="0" w:line="240" w:lineRule="auto"/>
      </w:pPr>
      <w:r>
        <w:separator/>
      </w:r>
    </w:p>
  </w:footnote>
  <w:footnote w:type="continuationSeparator" w:id="0">
    <w:p w:rsidR="008F2524" w:rsidRDefault="008F2524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961FE"/>
    <w:rsid w:val="001C6671"/>
    <w:rsid w:val="001D6D27"/>
    <w:rsid w:val="001E7C91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4D423F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A2CA2"/>
    <w:rsid w:val="008C08C8"/>
    <w:rsid w:val="008C4F48"/>
    <w:rsid w:val="008F2524"/>
    <w:rsid w:val="009162A9"/>
    <w:rsid w:val="009221A7"/>
    <w:rsid w:val="009B4799"/>
    <w:rsid w:val="009E1CDE"/>
    <w:rsid w:val="00A3111A"/>
    <w:rsid w:val="00AA5CAA"/>
    <w:rsid w:val="00B1171F"/>
    <w:rsid w:val="00B2189E"/>
    <w:rsid w:val="00B2221C"/>
    <w:rsid w:val="00B35B71"/>
    <w:rsid w:val="00C02F0B"/>
    <w:rsid w:val="00C33825"/>
    <w:rsid w:val="00C83F48"/>
    <w:rsid w:val="00CE6113"/>
    <w:rsid w:val="00D11CCC"/>
    <w:rsid w:val="00D44604"/>
    <w:rsid w:val="00D44899"/>
    <w:rsid w:val="00DA35CB"/>
    <w:rsid w:val="00E3135E"/>
    <w:rsid w:val="00E33103"/>
    <w:rsid w:val="00E42DB3"/>
    <w:rsid w:val="00E834DA"/>
    <w:rsid w:val="00EA1C86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293E31-B55D-4F23-9172-08B5C31E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hyperlink" Target="http://vk.com/teacher_deputy" TargetMode="Externa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image" Target="media/image2.png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TJ6huQ9exC1A25ipJejfHipBvWxJ9dZPpOZ5fzpPPmY=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rv7NAWf3ECZg6qcNiThmv9DrvA8sQL9yajF1P45tdHI=</DigestValue>
    </Reference>
  </SignedInfo>
  <SignatureValue>EZU0+EdDsQROaLwGZ8z5kDun6yflsXF3BN96k73C391y7tzxC5tW09IvjFdhJL1A
ZOB1MYfn6SsRVrBxUMWQow==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66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87"/>
            <mdssi:RelationshipReference xmlns:mdssi="http://schemas.openxmlformats.org/package/2006/digital-signature" SourceId="rId102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GjEFVQbUkQTvDqirx7Uc5Kmp2MA=</DigestValue>
      </Reference>
      <Reference URI="/word/document.xml?ContentType=application/vnd.openxmlformats-officedocument.wordprocessingml.document.main+xml">
        <DigestMethod Algorithm="http://www.w3.org/2000/09/xmldsig#sha1"/>
        <DigestValue>NnL1vZinugBOXVHIF+cbRF8+p3I=</DigestValue>
      </Reference>
      <Reference URI="/word/endnotes.xml?ContentType=application/vnd.openxmlformats-officedocument.wordprocessingml.endnotes+xml">
        <DigestMethod Algorithm="http://www.w3.org/2000/09/xmldsig#sha1"/>
        <DigestValue>pVDb+gslHy2AbzijjyKKRXEYbc0=</DigestValue>
      </Reference>
      <Reference URI="/word/fontTable.xml?ContentType=application/vnd.openxmlformats-officedocument.wordprocessingml.fontTable+xml">
        <DigestMethod Algorithm="http://www.w3.org/2000/09/xmldsig#sha1"/>
        <DigestValue>LAl35DFjt+vfUdMqwiOAk+IEEDA=</DigestValue>
      </Reference>
      <Reference URI="/word/footnotes.xml?ContentType=application/vnd.openxmlformats-officedocument.wordprocessingml.footnotes+xml">
        <DigestMethod Algorithm="http://www.w3.org/2000/09/xmldsig#sha1"/>
        <DigestValue>LCC+vAqarWHsn+kyGa1ApWqXUo0=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media/image2.png?ContentType=image/png">
        <DigestMethod Algorithm="http://www.w3.org/2000/09/xmldsig#sha1"/>
        <DigestValue>mgCJuQTOZWfBxrGfw+dLwtcGSxY=</DigestValue>
      </Reference>
      <Reference URI="/word/numbering.xml?ContentType=application/vnd.openxmlformats-officedocument.wordprocessingml.numbering+xml">
        <DigestMethod Algorithm="http://www.w3.org/2000/09/xmldsig#sha1"/>
        <DigestValue>IXtH2yRTMcCdekYUO92l+0F3D1Y=</DigestValue>
      </Reference>
      <Reference URI="/word/settings.xml?ContentType=application/vnd.openxmlformats-officedocument.wordprocessingml.settings+xml">
        <DigestMethod Algorithm="http://www.w3.org/2000/09/xmldsig#sha1"/>
        <DigestValue>BbJ0Ofw2DDaOz3ANKP0vIHaot30=</DigestValue>
      </Reference>
      <Reference URI="/word/styles.xml?ContentType=application/vnd.openxmlformats-officedocument.wordprocessingml.styles+xml">
        <DigestMethod Algorithm="http://www.w3.org/2000/09/xmldsig#sha1"/>
        <DigestValue>VwPV/1HdoxkEF6Ww1KSBz4ClL/E=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TCji174kg+mYTKdr1Dde9kjmvcg=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2025-10-02T16:59:26Z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2025-10-02T16:59:26Z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F42F-F068-426D-8D9D-CB155529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7583</Words>
  <Characters>43225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пк10</cp:lastModifiedBy>
  <cp:revision>10</cp:revision>
  <dcterms:created xsi:type="dcterms:W3CDTF">2024-06-04T08:26:00Z</dcterms:created>
  <dcterms:modified xsi:type="dcterms:W3CDTF">2025-10-02T16:59:00Z</dcterms:modified>
</cp:coreProperties>
</file>