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30436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 xml:space="preserve">Министерство образования Тверской области </w:t>
      </w:r>
      <w:bookmarkEnd w:id="1"/>
      <w:r>
        <w:rPr>
          <w:sz w:val="28"/>
        </w:rPr>
        <w:br/>
      </w:r>
      <w:bookmarkStart w:name="aedd4985-c29e-494d-8ad1-4bd90a83a26c" w:id="2"/>
      <w:bookmarkEnd w:id="2"/>
      <w:r>
        <w:rPr>
          <w:rFonts w:ascii="Times New Roman" w:hAnsi="Times New Roman"/>
          <w:b/>
          <w:i w:val="false"/>
          <w:color w:val="000000"/>
          <w:sz w:val="28"/>
        </w:rPr>
        <w:t xml:space="preserve"> </w:t>
      </w:r>
    </w:p>
    <w:p>
      <w:pPr>
        <w:spacing w:before="0" w:after="0" w:line="408"/>
        <w:ind w:left="120"/>
        <w:jc w:val="center"/>
      </w:pPr>
      <w:bookmarkStart w:name="5bdd78a7-6eff-44c5-be48-12eb425418d7" w:id="3"/>
      <w:r>
        <w:rPr>
          <w:rFonts w:ascii="Times New Roman" w:hAnsi="Times New Roman"/>
          <w:b/>
          <w:i w:val="false"/>
          <w:color w:val="000000"/>
          <w:sz w:val="28"/>
        </w:rPr>
        <w:t>Управление образования Администрации города Твери</w:t>
      </w:r>
      <w:bookmarkEnd w:id="3"/>
      <w:r>
        <w:rPr>
          <w:sz w:val="28"/>
        </w:rPr>
        <w:br/>
      </w:r>
      <w:bookmarkStart w:name="5bdd78a7-6eff-44c5-be48-12eb425418d7" w:id="4"/>
      <w:bookmarkEnd w:id="4"/>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6907448)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5"/>
      <w:r>
        <w:rPr>
          <w:rFonts w:ascii="Times New Roman" w:hAnsi="Times New Roman"/>
          <w:b/>
          <w:i w:val="false"/>
          <w:color w:val="000000"/>
          <w:sz w:val="28"/>
        </w:rPr>
        <w:t>г. Тверь</w:t>
      </w:r>
      <w:bookmarkEnd w:id="5"/>
      <w:r>
        <w:rPr>
          <w:rFonts w:ascii="Times New Roman" w:hAnsi="Times New Roman"/>
          <w:b/>
          <w:i w:val="false"/>
          <w:color w:val="000000"/>
          <w:sz w:val="28"/>
        </w:rPr>
        <w:t xml:space="preserve"> </w:t>
      </w:r>
      <w:bookmarkStart w:name="09ae5d1a-7fa5-48c7-ad03-4854c3714f92" w:id="6"/>
      <w:r>
        <w:rPr>
          <w:rFonts w:ascii="Times New Roman" w:hAnsi="Times New Roman"/>
          <w:b/>
          <w:i w:val="false"/>
          <w:color w:val="000000"/>
          <w:sz w:val="28"/>
        </w:rPr>
        <w:t>2025</w:t>
      </w:r>
      <w:bookmarkEnd w:id="6"/>
    </w:p>
    <w:p>
      <w:pPr>
        <w:spacing w:before="0" w:after="0"/>
        <w:ind w:left="120"/>
        <w:jc w:val="left"/>
      </w:pPr>
    </w:p>
    <w:bookmarkStart w:name="block-53043693" w:id="7"/>
    <w:p>
      <w:pPr>
        <w:sectPr>
          <w:pgSz w:w="11906" w:h="16383" w:orient="portrait"/>
        </w:sectPr>
      </w:pPr>
    </w:p>
    <w:bookmarkEnd w:id="7"/>
    <w:bookmarkEnd w:id="0"/>
    <w:bookmarkStart w:name="block-53043696"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53043696" w:id="9"/>
    <w:p>
      <w:pPr>
        <w:sectPr>
          <w:pgSz w:w="11906" w:h="16383" w:orient="portrait"/>
        </w:sectPr>
      </w:pPr>
    </w:p>
    <w:bookmarkEnd w:id="9"/>
    <w:bookmarkEnd w:id="8"/>
    <w:bookmarkStart w:name="block-53043694" w:id="10"/>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53043694" w:id="11"/>
    <w:p>
      <w:pPr>
        <w:sectPr>
          <w:pgSz w:w="11906" w:h="16383" w:orient="portrait"/>
        </w:sectPr>
      </w:pPr>
    </w:p>
    <w:bookmarkEnd w:id="11"/>
    <w:bookmarkEnd w:id="10"/>
    <w:bookmarkStart w:name="block-53043695" w:id="12"/>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53043695" w:id="13"/>
    <w:p>
      <w:pPr>
        <w:sectPr>
          <w:pgSz w:w="11906" w:h="16383" w:orient="portrait"/>
        </w:sectPr>
      </w:pPr>
    </w:p>
    <w:bookmarkEnd w:id="13"/>
    <w:bookmarkEnd w:id="12"/>
    <w:bookmarkStart w:name="block-5304369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53043691" w:id="15"/>
    <w:p>
      <w:pPr>
        <w:sectPr>
          <w:pgSz w:w="16383" w:h="11906" w:orient="landscape"/>
        </w:sectPr>
      </w:pPr>
    </w:p>
    <w:bookmarkEnd w:id="15"/>
    <w:bookmarkEnd w:id="14"/>
    <w:bookmarkStart w:name="block-5304369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5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20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3043692" w:id="17"/>
    <w:p>
      <w:pPr>
        <w:sectPr>
          <w:pgSz w:w="16383" w:h="11906" w:orient="landscape"/>
        </w:sectPr>
      </w:pPr>
    </w:p>
    <w:bookmarkEnd w:id="17"/>
    <w:bookmarkEnd w:id="16"/>
    <w:bookmarkStart w:name="block-53043697" w:id="18"/>
    <w:p>
      <w:pPr>
        <w:spacing w:before="199" w:after="199"/>
        <w:ind w:left="120"/>
        <w:jc w:val="left"/>
      </w:pPr>
      <w:r>
        <w:rPr>
          <w:rFonts w:ascii="Times New Roman" w:hAnsi="Times New Roman"/>
          <w:b/>
          <w:i w:val="false"/>
          <w:color w:val="000000"/>
          <w:sz w:val="28"/>
        </w:rPr>
        <w:t xml:space="preserve">ПРОВЕРЯЕМЫЕ ТРЕБОВАНИЯ К РЕЗУЛЬТАТАМ ОСВОЕНИЯ ОСНОВНОЙ ОБРАЗОВАТЕЛЬНОЙ ПРОГРАММЫ </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tbl>
      <w:tblPr>
        <w:tblW w:w="0" w:type="auto"/>
        <w:tblCellSpacing w:w="0" w:type="nil"/>
        <w:tblInd w:w="144" w:type="dxa"/>
        <w:tblBorders>
          <w:top w:val="single"/>
          <w:left w:val="single"/>
          <w:bottom w:val="single"/>
          <w:right w:val="single"/>
          <w:insideH w:val="single"/>
          <w:insideV w:val="single"/>
        </w:tblBorders>
      </w:tblPr>
      <w:tblGrid>
        <w:gridCol w:w="2705"/>
        <w:gridCol w:w="10901"/>
      </w:tblGrid>
      <w:tr>
        <w:trPr>
          <w:trHeight w:val="795" w:hRule="atLeast"/>
          <w:trHeight w:val="144" w:hRule="atLeast"/>
        </w:trPr>
        <w:tc>
          <w:tcPr>
            <w:tcW w:w="189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9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языке как знаковой системе, об основных функциях языка; о лингвистике как науке</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trPr>
          <w:trHeight w:val="202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Культура речи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словари русского языка в учебной деятельности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фонетический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фонетики в тексте</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орфоэпический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Лексикология и фразеология. Лексические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лексический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лексики</w:t>
            </w:r>
          </w:p>
        </w:tc>
      </w:tr>
      <w:tr>
        <w:trPr>
          <w:trHeight w:val="36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морфемный и словообразовательный анализ слова</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словообразовательный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Морфологические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морфологический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особенности употребления в тексте слов разных частей речи</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словарь грамматических трудностей, справочники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Орфография. Основные правила орфографии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принципах и разделах русской орфографии; выполнять орфографический анализ слова</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орфографические словари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87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trPr>
          <w:trHeight w:val="175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trPr>
          <w:trHeight w:val="234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Применять знания о тексте, его основных признаках, структуре и видах представленной в нём информации в речевой практике</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Выявлять логико-смысловые отношения между предложениями в тексте</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trPr>
          <w:trHeight w:val="234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4.6</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вторичные тексты (план, тезисы, конспект, реферат, аннотация, отзыв, рецензия и другие)</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4.7</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Корректировать текст: устранять логические, фактические, этические, грамматические и речевые ошибки</w:t>
            </w:r>
          </w:p>
        </w:tc>
      </w:tr>
    </w:tbl>
    <w:p>
      <w:pPr>
        <w:spacing w:before="0" w:after="0"/>
        <w:ind w:left="120"/>
        <w:jc w:val="left"/>
      </w:pPr>
    </w:p>
    <w:p>
      <w:pPr>
        <w:spacing w:before="199" w:after="199"/>
        <w:ind w:left="120"/>
        <w:jc w:val="left"/>
      </w:pPr>
      <w:r>
        <w:rPr>
          <w:rFonts w:ascii="Times New Roman" w:hAnsi="Times New Roman"/>
          <w:b/>
          <w:i w:val="false"/>
          <w:color w:val="000000"/>
          <w:sz w:val="28"/>
        </w:rPr>
        <w:t xml:space="preserve">11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0"/>
      </w:tblGrid>
      <w:tr>
        <w:trPr>
          <w:trHeight w:val="1350"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3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об экологии языка, о проблемах речевой культуры в современном обществе</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синтаксический анализ словосочетания, простого и сложного предложения</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синтаксиса русского языка (в рамках изученного)</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словари грамматических трудностей, справочники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принципах и разделах русской пунктуации; выполнять пунктуационный анализ предложения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справочники по пунктуации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339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Применять знания о функциональных разновидностях языка в речевой практике</w:t>
            </w:r>
          </w:p>
        </w:tc>
      </w:tr>
    </w:tbl>
    <w:p>
      <w:pPr>
        <w:spacing w:before="0" w:after="0"/>
        <w:ind w:left="120"/>
        <w:jc w:val="left"/>
      </w:pPr>
    </w:p>
    <w:bookmarkStart w:name="block-53043697" w:id="19"/>
    <w:p>
      <w:pPr>
        <w:sectPr>
          <w:pgSz w:w="11906" w:h="16383" w:orient="portrait"/>
        </w:sectPr>
      </w:pPr>
    </w:p>
    <w:bookmarkEnd w:id="19"/>
    <w:bookmarkEnd w:id="18"/>
    <w:bookmarkStart w:name="block-53043698" w:id="20"/>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34"/>
        <w:gridCol w:w="12218"/>
      </w:tblGrid>
      <w:tr>
        <w:trPr>
          <w:trHeight w:val="405" w:hRule="atLeast"/>
          <w:trHeight w:val="144" w:hRule="atLeast"/>
        </w:trPr>
        <w:tc>
          <w:tcPr>
            <w:tcW w:w="10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как знаковая система. Основные функции языка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Лингвистика как наука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и культура</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Система языка. Культура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Система языка, её устройство, функционирование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Культура речи как раздел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Языковая норма, её основные признаки и функции</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trPr>
          <w:trHeight w:val="54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Качества хорошей речи</w:t>
            </w:r>
          </w:p>
        </w:tc>
      </w:tr>
      <w:tr>
        <w:trPr>
          <w:trHeight w:val="234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Фонетика и орфоэпия как разделы лингвистики </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Фонетический анализ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Изобразительно-выразительные средства фонетики</w:t>
            </w:r>
          </w:p>
        </w:tc>
      </w:tr>
      <w:tr>
        <w:trPr>
          <w:trHeight w:val="187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Лексикология и фразеология. Лексические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Лексикология и фразеология как разделы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Лексический анализ слова</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Изобразительно-выразительные средства лексики: эпитет, метафора, метонимия, олицетворение, гипербола, сравнение</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Фразеология русского языка. Крылатые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Морфемика и словообразование как разделы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Морфемный и словообразовательный анализ слова</w:t>
            </w:r>
          </w:p>
        </w:tc>
      </w:tr>
      <w:tr>
        <w:trPr>
          <w:trHeight w:val="175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Словообразовательные трудности. Особенности употребления сложносокращённых слов (аббревиатур)</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Морфология. Морфологические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Морфология как раздел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Морфологический анализ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Особенности употребления в тексте слов разных частей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Морфологические нормы современного русского литературного языка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имён существительных: форм рода, числа, падежа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имён прилагательных: форм степеней сравнения, краткой формы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количественных, порядковых и собирательных числительных</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2.5.8</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местоимений: формы 3-го лица личных местоимений, возвратного местоимения себя</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2.5.9</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b w:val="false"/>
                <w:i/>
                <w:color w:val="000000"/>
                <w:sz w:val="24"/>
              </w:rPr>
              <w:t>ну-</w:t>
            </w:r>
            <w:r>
              <w:rPr>
                <w:rFonts w:ascii="Times New Roman" w:hAnsi="Times New Roman"/>
                <w:b w:val="false"/>
                <w:i w:val="false"/>
                <w:color w:val="000000"/>
                <w:sz w:val="24"/>
              </w:rPr>
              <w:t>, форм повелительного наклонения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Орфография. Основные правила орфографии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Орфография как раздел лингвистики. Принципы и разделы русской орфографии</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Орфографические правила. Правописание гласных и согласных в корне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Употребление разделительных </w:t>
            </w:r>
            <w:r>
              <w:rPr>
                <w:rFonts w:ascii="Times New Roman" w:hAnsi="Times New Roman"/>
                <w:b w:val="false"/>
                <w:i/>
                <w:color w:val="000000"/>
                <w:sz w:val="24"/>
              </w:rPr>
              <w:t>ъ</w:t>
            </w:r>
            <w:r>
              <w:rPr>
                <w:rFonts w:ascii="Times New Roman" w:hAnsi="Times New Roman"/>
                <w:b w:val="false"/>
                <w:i w:val="false"/>
                <w:color w:val="000000"/>
                <w:sz w:val="24"/>
              </w:rPr>
              <w:t xml:space="preserve"> и </w:t>
            </w:r>
            <w:r>
              <w:rPr>
                <w:rFonts w:ascii="Times New Roman" w:hAnsi="Times New Roman"/>
                <w:b w:val="false"/>
                <w:i/>
                <w:color w:val="000000"/>
                <w:sz w:val="24"/>
              </w:rPr>
              <w:t>ь</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приставок</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Буквы </w:t>
            </w:r>
            <w:r>
              <w:rPr>
                <w:rFonts w:ascii="Times New Roman" w:hAnsi="Times New Roman"/>
                <w:b w:val="false"/>
                <w:i/>
                <w:color w:val="000000"/>
                <w:sz w:val="24"/>
              </w:rPr>
              <w:t>ы – и</w:t>
            </w:r>
            <w:r>
              <w:rPr>
                <w:rFonts w:ascii="Times New Roman" w:hAnsi="Times New Roman"/>
                <w:b w:val="false"/>
                <w:i w:val="false"/>
                <w:color w:val="000000"/>
                <w:sz w:val="24"/>
              </w:rPr>
              <w:t xml:space="preserve"> после приставок</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суффиксов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2.6.8</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w:t>
            </w:r>
            <w:r>
              <w:rPr>
                <w:rFonts w:ascii="Times New Roman" w:hAnsi="Times New Roman"/>
                <w:b w:val="false"/>
                <w:i w:val="false"/>
                <w:color w:val="000000"/>
                <w:sz w:val="24"/>
              </w:rPr>
              <w:t xml:space="preserve"> и </w:t>
            </w:r>
            <w:r>
              <w:rPr>
                <w:rFonts w:ascii="Times New Roman" w:hAnsi="Times New Roman"/>
                <w:b w:val="false"/>
                <w:i/>
                <w:color w:val="000000"/>
                <w:sz w:val="24"/>
              </w:rPr>
              <w:t>нн</w:t>
            </w:r>
            <w:r>
              <w:rPr>
                <w:rFonts w:ascii="Times New Roman" w:hAnsi="Times New Roman"/>
                <w:b w:val="false"/>
                <w:i w:val="false"/>
                <w:color w:val="000000"/>
                <w:sz w:val="24"/>
              </w:rPr>
              <w:t xml:space="preserve"> в словах различных частей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2.6.9</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не</w:t>
            </w:r>
            <w:r>
              <w:rPr>
                <w:rFonts w:ascii="Times New Roman" w:hAnsi="Times New Roman"/>
                <w:b w:val="false"/>
                <w:i w:val="false"/>
                <w:color w:val="000000"/>
                <w:sz w:val="24"/>
              </w:rPr>
              <w:t xml:space="preserve"> и </w:t>
            </w:r>
            <w:r>
              <w:rPr>
                <w:rFonts w:ascii="Times New Roman" w:hAnsi="Times New Roman"/>
                <w:b w:val="false"/>
                <w:i/>
                <w:color w:val="000000"/>
                <w:sz w:val="24"/>
              </w:rPr>
              <w:t>ни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2.6.10</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Слитное, дефисное и раздельное написание слов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Речь. Речевое общение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Речь как деятельность. Виды речевой деятельности</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trPr>
          <w:trHeight w:val="222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Текст. Информационно-смысловая переработка текста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Текст, его основные признаки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Логико-смысловые отношения между предложениями в тексте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Информативность текста. Виды информации в тексте</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План. Тезисы. Конспект. Реферат. Аннотация. Отзыв. Рецензия</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31"/>
        <w:gridCol w:w="12133"/>
      </w:tblGrid>
      <w:tr>
        <w:trPr>
          <w:trHeight w:val="405" w:hRule="atLeast"/>
          <w:trHeight w:val="144" w:hRule="atLeast"/>
        </w:trPr>
        <w:tc>
          <w:tcPr>
            <w:tcW w:w="107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34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Культура речи в экологическом аспекте. Экология как наука, экология языка</w:t>
            </w:r>
          </w:p>
        </w:tc>
      </w:tr>
      <w:tr>
        <w:trPr>
          <w:trHeight w:val="141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Синтаксис как раздел лингвистики </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Синтаксический анализ словосочетания и предложения</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Синтаксические нормы</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Порядок слов в предложении</w:t>
            </w:r>
          </w:p>
        </w:tc>
      </w:tr>
      <w:tr>
        <w:trPr>
          <w:trHeight w:val="352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нормы согласования сказуемого с подлежащим, в состав которого входят слова </w:t>
            </w:r>
            <w:r>
              <w:rPr>
                <w:rFonts w:ascii="Times New Roman" w:hAnsi="Times New Roman"/>
                <w:b w:val="false"/>
                <w:i/>
                <w:color w:val="000000"/>
                <w:sz w:val="24"/>
              </w:rPr>
              <w:t>множество</w:t>
            </w:r>
            <w:r>
              <w:rPr>
                <w:rFonts w:ascii="Times New Roman" w:hAnsi="Times New Roman"/>
                <w:b w:val="false"/>
                <w:i w:val="false"/>
                <w:color w:val="000000"/>
                <w:sz w:val="24"/>
              </w:rPr>
              <w:t>,</w:t>
            </w:r>
            <w:r>
              <w:rPr>
                <w:rFonts w:ascii="Times New Roman" w:hAnsi="Times New Roman"/>
                <w:b w:val="false"/>
                <w:i/>
                <w:color w:val="000000"/>
                <w:sz w:val="24"/>
              </w:rPr>
              <w:t xml:space="preserve"> ряд</w:t>
            </w:r>
            <w:r>
              <w:rPr>
                <w:rFonts w:ascii="Times New Roman" w:hAnsi="Times New Roman"/>
                <w:b w:val="false"/>
                <w:i w:val="false"/>
                <w:color w:val="000000"/>
                <w:sz w:val="24"/>
              </w:rPr>
              <w:t>,</w:t>
            </w:r>
            <w:r>
              <w:rPr>
                <w:rFonts w:ascii="Times New Roman" w:hAnsi="Times New Roman"/>
                <w:b w:val="false"/>
                <w:i/>
                <w:color w:val="000000"/>
                <w:sz w:val="24"/>
              </w:rPr>
              <w:t xml:space="preserve"> большинство</w:t>
            </w:r>
            <w:r>
              <w:rPr>
                <w:rFonts w:ascii="Times New Roman" w:hAnsi="Times New Roman"/>
                <w:b w:val="false"/>
                <w:i w:val="false"/>
                <w:color w:val="000000"/>
                <w:sz w:val="24"/>
              </w:rPr>
              <w:t>,</w:t>
            </w:r>
            <w:r>
              <w:rPr>
                <w:rFonts w:ascii="Times New Roman" w:hAnsi="Times New Roman"/>
                <w:b w:val="false"/>
                <w:i/>
                <w:color w:val="000000"/>
                <w:sz w:val="24"/>
              </w:rPr>
              <w:t xml:space="preserve"> меньшинство</w:t>
            </w:r>
            <w:r>
              <w:rPr>
                <w:rFonts w:ascii="Times New Roman" w:hAnsi="Times New Roman"/>
                <w:b w:val="false"/>
                <w:i w:val="false"/>
                <w:color w:val="000000"/>
                <w:sz w:val="24"/>
              </w:rPr>
              <w:t>; с подлежащим, выраженным количественно-именным сочетанием (</w:t>
            </w:r>
            <w:r>
              <w:rPr>
                <w:rFonts w:ascii="Times New Roman" w:hAnsi="Times New Roman"/>
                <w:b w:val="false"/>
                <w:i/>
                <w:color w:val="000000"/>
                <w:sz w:val="24"/>
              </w:rPr>
              <w:t>двадцать лет</w:t>
            </w:r>
            <w:r>
              <w:rPr>
                <w:rFonts w:ascii="Times New Roman" w:hAnsi="Times New Roman"/>
                <w:b w:val="false"/>
                <w:i w:val="false"/>
                <w:color w:val="000000"/>
                <w:sz w:val="24"/>
              </w:rPr>
              <w:t>,</w:t>
            </w:r>
            <w:r>
              <w:rPr>
                <w:rFonts w:ascii="Times New Roman" w:hAnsi="Times New Roman"/>
                <w:b w:val="false"/>
                <w:i/>
                <w:color w:val="000000"/>
                <w:sz w:val="24"/>
              </w:rPr>
              <w:t xml:space="preserve"> пять человек</w:t>
            </w:r>
            <w:r>
              <w:rPr>
                <w:rFonts w:ascii="Times New Roman" w:hAnsi="Times New Roman"/>
                <w:b w:val="false"/>
                <w:i w:val="false"/>
                <w:color w:val="000000"/>
                <w:sz w:val="24"/>
              </w:rPr>
              <w:t xml:space="preserve">); имеющим в своём составе числительные, оканчивающиеся на </w:t>
            </w:r>
            <w:r>
              <w:rPr>
                <w:rFonts w:ascii="Times New Roman" w:hAnsi="Times New Roman"/>
                <w:b w:val="false"/>
                <w:i/>
                <w:color w:val="000000"/>
                <w:sz w:val="24"/>
              </w:rPr>
              <w:t>один</w:t>
            </w:r>
            <w:r>
              <w:rPr>
                <w:rFonts w:ascii="Times New Roman" w:hAnsi="Times New Roman"/>
                <w:b w:val="false"/>
                <w:i w:val="false"/>
                <w:color w:val="000000"/>
                <w:sz w:val="24"/>
              </w:rPr>
              <w:t xml:space="preserve">; имеющим в своём составе числительные </w:t>
            </w:r>
            <w:r>
              <w:rPr>
                <w:rFonts w:ascii="Times New Roman" w:hAnsi="Times New Roman"/>
                <w:b w:val="false"/>
                <w:i/>
                <w:color w:val="000000"/>
                <w:sz w:val="24"/>
              </w:rPr>
              <w:t>два</w:t>
            </w:r>
            <w:r>
              <w:rPr>
                <w:rFonts w:ascii="Times New Roman" w:hAnsi="Times New Roman"/>
                <w:b w:val="false"/>
                <w:i w:val="false"/>
                <w:color w:val="000000"/>
                <w:sz w:val="24"/>
              </w:rPr>
              <w:t>,</w:t>
            </w:r>
            <w:r>
              <w:rPr>
                <w:rFonts w:ascii="Times New Roman" w:hAnsi="Times New Roman"/>
                <w:b w:val="false"/>
                <w:i/>
                <w:color w:val="000000"/>
                <w:sz w:val="24"/>
              </w:rPr>
              <w:t xml:space="preserve"> три</w:t>
            </w:r>
            <w:r>
              <w:rPr>
                <w:rFonts w:ascii="Times New Roman" w:hAnsi="Times New Roman"/>
                <w:b w:val="false"/>
                <w:i w:val="false"/>
                <w:color w:val="000000"/>
                <w:sz w:val="24"/>
              </w:rPr>
              <w:t>,</w:t>
            </w:r>
            <w:r>
              <w:rPr>
                <w:rFonts w:ascii="Times New Roman" w:hAnsi="Times New Roman"/>
                <w:b w:val="false"/>
                <w:i/>
                <w:color w:val="000000"/>
                <w:sz w:val="24"/>
              </w:rPr>
              <w:t xml:space="preserve"> четыре</w:t>
            </w:r>
            <w:r>
              <w:rPr>
                <w:rFonts w:ascii="Times New Roman" w:hAnsi="Times New Roman"/>
                <w:b w:val="false"/>
                <w:i w:val="false"/>
                <w:color w:val="000000"/>
                <w:sz w:val="24"/>
              </w:rPr>
              <w:t xml:space="preserve"> или числительное, оканчивающееся на </w:t>
            </w:r>
            <w:r>
              <w:rPr>
                <w:rFonts w:ascii="Times New Roman" w:hAnsi="Times New Roman"/>
                <w:b w:val="false"/>
                <w:i/>
                <w:color w:val="000000"/>
                <w:sz w:val="24"/>
              </w:rPr>
              <w:t>два</w:t>
            </w:r>
            <w:r>
              <w:rPr>
                <w:rFonts w:ascii="Times New Roman" w:hAnsi="Times New Roman"/>
                <w:b w:val="false"/>
                <w:i w:val="false"/>
                <w:color w:val="000000"/>
                <w:sz w:val="24"/>
              </w:rPr>
              <w:t xml:space="preserve">, </w:t>
            </w:r>
            <w:r>
              <w:rPr>
                <w:rFonts w:ascii="Times New Roman" w:hAnsi="Times New Roman"/>
                <w:b w:val="false"/>
                <w:i/>
                <w:color w:val="000000"/>
                <w:sz w:val="24"/>
              </w:rPr>
              <w:t>три</w:t>
            </w:r>
            <w:r>
              <w:rPr>
                <w:rFonts w:ascii="Times New Roman" w:hAnsi="Times New Roman"/>
                <w:b w:val="false"/>
                <w:i w:val="false"/>
                <w:color w:val="000000"/>
                <w:sz w:val="24"/>
              </w:rPr>
              <w:t xml:space="preserve">, </w:t>
            </w:r>
            <w:r>
              <w:rPr>
                <w:rFonts w:ascii="Times New Roman" w:hAnsi="Times New Roman"/>
                <w:b w:val="false"/>
                <w:i/>
                <w:color w:val="000000"/>
                <w:sz w:val="24"/>
              </w:rPr>
              <w:t>четыре</w:t>
            </w:r>
            <w:r>
              <w:rPr>
                <w:rFonts w:ascii="Times New Roman" w:hAnsi="Times New Roman"/>
                <w:b w:val="false"/>
                <w:i w:val="false"/>
                <w:color w:val="000000"/>
                <w:sz w:val="24"/>
              </w:rPr>
              <w:t xml:space="preserve">. Согласование сказуемого с подлежащим, имеющим при себе приложение (типа </w:t>
            </w:r>
            <w:r>
              <w:rPr>
                <w:rFonts w:ascii="Times New Roman" w:hAnsi="Times New Roman"/>
                <w:b w:val="false"/>
                <w:i/>
                <w:color w:val="000000"/>
                <w:sz w:val="24"/>
              </w:rPr>
              <w:t>диван-кровать</w:t>
            </w:r>
            <w:r>
              <w:rPr>
                <w:rFonts w:ascii="Times New Roman" w:hAnsi="Times New Roman"/>
                <w:b w:val="false"/>
                <w:i w:val="false"/>
                <w:color w:val="000000"/>
                <w:sz w:val="24"/>
              </w:rPr>
              <w:t>,</w:t>
            </w:r>
            <w:r>
              <w:rPr>
                <w:rFonts w:ascii="Times New Roman" w:hAnsi="Times New Roman"/>
                <w:b w:val="false"/>
                <w:i/>
                <w:color w:val="000000"/>
                <w:sz w:val="24"/>
              </w:rPr>
              <w:t xml:space="preserve"> озеро Байкал</w:t>
            </w:r>
            <w:r>
              <w:rPr>
                <w:rFonts w:ascii="Times New Roman" w:hAnsi="Times New Roman"/>
                <w:b w:val="false"/>
                <w:i w:val="false"/>
                <w:color w:val="000000"/>
                <w:sz w:val="24"/>
              </w:rPr>
              <w:t>). Согласование сказуемого с подлежащим, выраженным аббревиатурой, заимствованным несклоняемым существительным</w:t>
            </w:r>
          </w:p>
        </w:tc>
      </w:tr>
      <w:tr>
        <w:trPr>
          <w:trHeight w:val="93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2.1.8</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однородных членов предложения</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2.1.9</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причастных и деепричастных оборотов</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2.1.10</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построения сложных предложений</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как раздел лингвистики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Пунктуационный анализ предложения</w:t>
            </w:r>
          </w:p>
        </w:tc>
      </w:tr>
      <w:tr>
        <w:trPr>
          <w:trHeight w:val="141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Сочетание знаков препинания</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и их функции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между подлежащим и сказуемым</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однородными членами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2.2.8</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обособлении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2.2.9</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2.2.10</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 с разными видами связи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передаче чужой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как раздел лингвистики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Стилистическая норма</w:t>
            </w:r>
          </w:p>
        </w:tc>
      </w:tr>
      <w:tr>
        <w:trPr>
          <w:trHeight w:val="270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trPr>
          <w:trHeight w:val="234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trPr>
          <w:trHeight w:val="234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bookmarkStart w:name="block-53043698" w:id="21"/>
    <w:p>
      <w:pPr>
        <w:sectPr>
          <w:pgSz w:w="11906" w:h="16383" w:orient="portrait"/>
        </w:sectPr>
      </w:pPr>
    </w:p>
    <w:bookmarkEnd w:id="21"/>
    <w:bookmarkEnd w:id="20"/>
    <w:bookmarkStart w:name="block-53043700" w:id="22"/>
    <w:p>
      <w:pPr>
        <w:spacing w:before="199" w:after="199"/>
        <w:ind w:left="120"/>
        <w:jc w:val="left"/>
      </w:pPr>
      <w:r>
        <w:rPr>
          <w:rFonts w:ascii="Times New Roman" w:hAnsi="Times New Roman"/>
          <w:b/>
          <w:i w:val="false"/>
          <w:color w:val="000000"/>
          <w:sz w:val="28"/>
        </w:rPr>
        <w:t>ПРОВЕРЯЕМЫЕ НА ЕГЭ ПО РУССКОМУ ЯЗЫКУ ТРЕБОВАНИЯ К РЕЗУЛЬТАТАМ ОСВОЕНИЯ ОСНОВНОЙ ОБРАЗОВАТЕЛЬНОЙ ПРОГРАММЫ СРЕДНЕГО ОБЩЕГО ОБРАЗОВАНИЯ</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521"/>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требования </w:t>
            </w:r>
          </w:p>
        </w:tc>
        <w:tc>
          <w:tcPr>
            <w:tcW w:w="1157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Сформированность знаний о признаках текста, его структуре, видах информации в тексте </w:t>
            </w:r>
          </w:p>
        </w:tc>
      </w:tr>
      <w:tr>
        <w:trPr>
          <w:trHeight w:val="27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выявлять логико-смысловые отношения между предложениями в тексте</w:t>
            </w:r>
          </w:p>
        </w:tc>
      </w:tr>
      <w:tr>
        <w:trPr>
          <w:trHeight w:val="19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создавать вторичные тексты (тезисы, аннотация, отзыв, рецензия и другие)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 языке как системе, его основных единицах и уровнях</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Обогащение словарного запаса, расширение объёма используемых в речи грамматических языковых средств</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анализировать языковые единицы разных уровней</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об аспектах культуры речи: нормативном, коммуникативном и этическом</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орфоэпические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Формирование системы знаний о нормах современного русского литературного языка и их основных видах: лексические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грамматические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стилистические нормы</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применять правила орфографии в практике письма</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применять правила пунктуации в практике письма</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работать со словарями и справочниками</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об изобразительно-выразительных средствах русского языка</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определять изобразительно-выразительные средства языка в тексте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корректировать устные и письменные высказывания</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33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bookmarkStart w:name="block-53043700" w:id="23"/>
    <w:p>
      <w:pPr>
        <w:sectPr>
          <w:pgSz w:w="11906" w:h="16383" w:orient="portrait"/>
        </w:sectPr>
      </w:pPr>
    </w:p>
    <w:bookmarkEnd w:id="23"/>
    <w:bookmarkEnd w:id="22"/>
    <w:bookmarkStart w:name="block-53043701" w:id="24"/>
    <w:p>
      <w:pPr>
        <w:spacing w:before="199" w:after="199"/>
        <w:ind w:left="120"/>
        <w:jc w:val="left"/>
      </w:pPr>
      <w:r>
        <w:rPr>
          <w:rFonts w:ascii="Times New Roman" w:hAnsi="Times New Roman"/>
          <w:b/>
          <w:i w:val="false"/>
          <w:color w:val="000000"/>
          <w:sz w:val="28"/>
        </w:rPr>
        <w:t>ПЕРЕЧЕНЬ ЭЛЕМЕНТОВ СОДЕРЖАНИЯ, ПРОВЕРЯЕМЫХ НА ЕГЭ ПО РУССКОМУ ЯЗЫКУ</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3"/>
        <w:gridCol w:w="12037"/>
      </w:tblGrid>
      <w:tr>
        <w:trPr>
          <w:trHeight w:val="55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24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Текст, его основные признаки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Логико-смысловые отношения между предложениями в тексте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Информативность текста. Виды информации в тексте</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План. Тезисы. Конспект. Реферат. Аннотация. Отзыв. Рецензия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Культура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её устройство, функционирование. Культура речи как раздел лингвистики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Качества хорошей речи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и орфоэпия как разделы лингвистики. Фонетический анализ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фонетики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Лексика и фразеология. Лексические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Лексикология и фразеология как разделы лингвистики. Лексический анализ слова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лексики: эпитет, метафора, метонимия, олицетворение, гипербола, сравнение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Фразеология русского языка. Крылатые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как разделы лингвистики. Морфемный и словообразовательный анализ слова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Словообразовательные трудности. Особенности употребления сложносокращённых слов (аббревиатур)</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Морфологические нормы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как раздел лингвистики. Морфологический анализ слова. Особенности употребления в тексте слов разных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имён существительных: форм рода, числа, падежа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имён прилагательных: форм степеней сравнения, краткой формы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количественных, порядковых и собирательных числительных</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местоимений: формы 3-го лица личных местоимений, возвратного местоимения себя</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b w:val="false"/>
                <w:i/>
                <w:color w:val="000000"/>
                <w:sz w:val="24"/>
              </w:rPr>
              <w:t>-ну-</w:t>
            </w:r>
            <w:r>
              <w:rPr>
                <w:rFonts w:ascii="Times New Roman" w:hAnsi="Times New Roman"/>
                <w:b w:val="false"/>
                <w:i w:val="false"/>
                <w:color w:val="000000"/>
                <w:sz w:val="24"/>
              </w:rPr>
              <w:t>, форм повелительного наклонения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как раздел лингвистики. Синтаксический анализ словосочетания и предложения</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однородных членов предложения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причастных и деепричастных оборотов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построения сложных предложений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Орфография. Основные правила орфографии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Употребление заглавных и строчных букв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гласных и согласных в корне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Употребление </w:t>
            </w:r>
            <w:r>
              <w:rPr>
                <w:rFonts w:ascii="Times New Roman" w:hAnsi="Times New Roman"/>
                <w:b w:val="false"/>
                <w:i/>
                <w:color w:val="000000"/>
                <w:sz w:val="24"/>
              </w:rPr>
              <w:t>ъ</w:t>
            </w:r>
            <w:r>
              <w:rPr>
                <w:rFonts w:ascii="Times New Roman" w:hAnsi="Times New Roman"/>
                <w:b w:val="false"/>
                <w:i w:val="false"/>
                <w:color w:val="000000"/>
                <w:sz w:val="24"/>
              </w:rPr>
              <w:t xml:space="preserve"> и </w:t>
            </w:r>
            <w:r>
              <w:rPr>
                <w:rFonts w:ascii="Times New Roman" w:hAnsi="Times New Roman"/>
                <w:b w:val="false"/>
                <w:i/>
                <w:color w:val="000000"/>
                <w:sz w:val="24"/>
              </w:rPr>
              <w:t>ь</w:t>
            </w:r>
            <w:r>
              <w:rPr>
                <w:rFonts w:ascii="Times New Roman" w:hAnsi="Times New Roman"/>
                <w:b w:val="false"/>
                <w:i w:val="false"/>
                <w:color w:val="000000"/>
                <w:sz w:val="24"/>
              </w:rPr>
              <w:t xml:space="preserve"> (в том числе разделительных)</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приставок. Буквы </w:t>
            </w:r>
            <w:r>
              <w:rPr>
                <w:rFonts w:ascii="Times New Roman" w:hAnsi="Times New Roman"/>
                <w:b w:val="false"/>
                <w:i/>
                <w:color w:val="000000"/>
                <w:sz w:val="24"/>
              </w:rPr>
              <w:t>ы</w:t>
            </w:r>
            <w:r>
              <w:rPr>
                <w:rFonts w:ascii="Times New Roman" w:hAnsi="Times New Roman"/>
                <w:b w:val="false"/>
                <w:i/>
                <w:color w:val="000000"/>
                <w:sz w:val="24"/>
              </w:rPr>
              <w:t xml:space="preserve"> – и</w:t>
            </w:r>
            <w:r>
              <w:rPr>
                <w:rFonts w:ascii="Times New Roman" w:hAnsi="Times New Roman"/>
                <w:b w:val="false"/>
                <w:i w:val="false"/>
                <w:color w:val="000000"/>
                <w:sz w:val="24"/>
              </w:rPr>
              <w:t xml:space="preserve"> после приставок</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суффиксов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w:t>
            </w:r>
            <w:r>
              <w:rPr>
                <w:rFonts w:ascii="Times New Roman" w:hAnsi="Times New Roman"/>
                <w:b w:val="false"/>
                <w:i w:val="false"/>
                <w:color w:val="000000"/>
                <w:sz w:val="24"/>
              </w:rPr>
              <w:t xml:space="preserve"> и </w:t>
            </w:r>
            <w:r>
              <w:rPr>
                <w:rFonts w:ascii="Times New Roman" w:hAnsi="Times New Roman"/>
                <w:b w:val="false"/>
                <w:i/>
                <w:color w:val="000000"/>
                <w:sz w:val="24"/>
              </w:rPr>
              <w:t>нн</w:t>
            </w:r>
            <w:r>
              <w:rPr>
                <w:rFonts w:ascii="Times New Roman" w:hAnsi="Times New Roman"/>
                <w:b w:val="false"/>
                <w:i w:val="false"/>
                <w:color w:val="000000"/>
                <w:sz w:val="24"/>
              </w:rPr>
              <w:t xml:space="preserve"> в словах различных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не</w:t>
            </w:r>
            <w:r>
              <w:rPr>
                <w:rFonts w:ascii="Times New Roman" w:hAnsi="Times New Roman"/>
                <w:b w:val="false"/>
                <w:i w:val="false"/>
                <w:color w:val="000000"/>
                <w:sz w:val="24"/>
              </w:rPr>
              <w:t xml:space="preserve"> и </w:t>
            </w:r>
            <w:r>
              <w:rPr>
                <w:rFonts w:ascii="Times New Roman" w:hAnsi="Times New Roman"/>
                <w:b w:val="false"/>
                <w:i/>
                <w:color w:val="000000"/>
                <w:sz w:val="24"/>
              </w:rPr>
              <w:t>ни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3.7.9</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Слитное, дефисное и раздельное написание слов</w:t>
            </w:r>
            <w:r>
              <w:rPr>
                <w:rFonts w:ascii="Times New Roman" w:hAnsi="Times New Roman"/>
                <w:b w:val="false"/>
                <w:i w:val="false"/>
                <w:color w:val="000000"/>
                <w:spacing w:val="-4"/>
                <w:sz w:val="24"/>
              </w:rPr>
              <w:t xml:space="preserve"> разных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Пунктуационный анализ предложения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конце предложений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между подлежащим и сказуемым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однородными членами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обособлении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Знаки препинания в предложениях с вводными конструкциями, обращениями, междометиями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 с разными видами связи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3.8.9</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передаче чужой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как знаковая система. Основные функции языка. Лингвистика как наука. Язык и культура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bookmarkStart w:name="block-53043701" w:id="25"/>
    <w:p>
      <w:pPr>
        <w:sectPr>
          <w:pgSz w:w="11906" w:h="16383" w:orient="portrait"/>
        </w:sectPr>
      </w:pPr>
    </w:p>
    <w:bookmarkEnd w:id="25"/>
    <w:bookmarkEnd w:id="24"/>
    <w:bookmarkStart w:name="block-53043699"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68887037-60c7-4119-9c03-aab772564d28" w:id="27"/>
      <w:r>
        <w:rPr>
          <w:rFonts w:ascii="Times New Roman" w:hAnsi="Times New Roman"/>
          <w:b w:val="false"/>
          <w:i w:val="false"/>
          <w:color w:val="000000"/>
          <w:sz w:val="28"/>
        </w:rPr>
        <w:t>• Русский язык. 10-11 класс. Рыбченкова Л.М., Александрова О.М., Нарушевич А.Г. и др. Акционерное общество «Издательство «Просвещение»</w:t>
      </w:r>
      <w:bookmarkEnd w:id="2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fdcd29f-3a0f-4576-9d48-346f0eed3c66" w:id="28"/>
      <w:r>
        <w:rPr>
          <w:rFonts w:ascii="Times New Roman" w:hAnsi="Times New Roman"/>
          <w:b w:val="false"/>
          <w:i w:val="false"/>
          <w:color w:val="000000"/>
          <w:sz w:val="28"/>
        </w:rPr>
        <w:t>Библиотека цифрового образовательного контента ФГИС «Моя школа»</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d7e5dcf0-bb29-4391-991f-6eb2fd886660" w:id="29"/>
      <w:r>
        <w:rPr>
          <w:rFonts w:ascii="Times New Roman" w:hAnsi="Times New Roman"/>
          <w:b w:val="false"/>
          <w:i w:val="false"/>
          <w:color w:val="000000"/>
          <w:sz w:val="28"/>
        </w:rPr>
        <w:t>Библиотека цифрового образовательного контента ФГИС «Моя школа»</w:t>
      </w:r>
      <w:bookmarkEnd w:id="29"/>
    </w:p>
    <w:bookmarkStart w:name="block-53043699" w:id="30"/>
    <w:p>
      <w:pPr>
        <w:sectPr>
          <w:pgSz w:w="11906" w:h="16383" w:orient="portrait"/>
        </w:sectPr>
      </w:pPr>
    </w:p>
    <w:bookmarkEnd w:id="30"/>
    <w:bookmarkEnd w:id="2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