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3779915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bookmarkStart w:id="1" w:name="7e23ae95-14d1-494f-ac52-185ba52e2507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города Твери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МОУ СОШ №7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Горячева И.Ю.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Зам. директора по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Назарова О.Г.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и.о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. директора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Корнилова А.Б.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(ID 538505)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безопасности жизнедеятельности»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2" w:name="3c91d4df-ec5a-4693-9f78-bc3133ba6b6b"/>
      <w:r>
        <w:rPr>
          <w:rFonts w:ascii="Times New Roman" w:hAnsi="Times New Roman"/>
          <w:b/>
          <w:color w:val="000000"/>
          <w:sz w:val="28"/>
          <w:lang w:val="ru-RU"/>
        </w:rPr>
        <w:t xml:space="preserve">Тверь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c9c1c5d-85b7-4c8f-b36f-9edff786d340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jc w:val="center"/>
        <w:spacing w:after="0" w:line="264" w:lineRule="auto"/>
        <w:rPr>
          <w:lang w:val="ru-RU"/>
        </w:rPr>
      </w:pPr>
      <w:r/>
      <w:bookmarkStart w:id="4" w:name="block-3779916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знаний и формирования у них умений и навыков в области безопасности жизнедеятельности.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Программа</w:t>
      </w:r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r>
        <w:rPr>
          <w:rFonts w:ascii="Times New Roman" w:hAnsi="Times New Roman"/>
          <w:color w:val="000000"/>
          <w:spacing w:val="-2"/>
          <w:sz w:val="28"/>
        </w:rPr>
        <w:t xml:space="preserve">обеспечивает</w:t>
      </w:r>
      <w:r>
        <w:rPr>
          <w:rFonts w:ascii="Times New Roman" w:hAnsi="Times New Roman"/>
          <w:color w:val="000000"/>
          <w:spacing w:val="-2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формирование 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ичности выпускника с высоким уровнем культуры и мотивации ведения безопасного, здорового и экологически целесообразного образа жизни;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обучающихся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потребностям общества в формировании полноценной личности безопасного типа;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метапредметных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подготовку выпускников к 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ешению актуальных практических задач безопасности жизнедеятельности в повседневной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БЖ стр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уктурно представлено отдельными модулями (тематическими линиями), обеспечивающими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системность и непрерывность изучения предмета на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1. «Основы комплексной безопасности».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3. «Военно-профессиональная деятельность».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4. «Защита населения Российской Федерации от опа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сных и чрезвычайных ситуаций».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5. «Безопасность в природной среде и экологическая безопасность».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6. «Основы противодействия экстремизму и терроризму».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7. «Основы здорового образа жизни».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8. «Основы медицинских знаний и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казание первой помощи».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9. «Элементы начальной военной подготовки».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firstLine="600"/>
        <w:jc w:val="center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«ОСНОВЫ БЕЗОПАСНОСТИ ЖИЗН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взаимосвязанных навыков и умений, формирование компетенций в области безопасности, поддержанных согласованным изучением других учебн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Это позволяет форм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ватной модели индивидуального и группового безопасного поведения в повседневной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firstLine="600"/>
        <w:jc w:val="center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УЧЕБНОГО ПРЕДМЕТА «ОСНОВЫ БЕЗОПАСНОСТИ ЖИЗНЕДЕЯТЕЛЬНОСТИ»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Целью изучения ОБЖ на уровне среднего общего образования являетс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я формирование у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обучающихся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безопасного поведения в повседневн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ий;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«ОСНОВЫ БЕЗОПАСНОСТИ ЖИЗНЕДЕЯТЕЛЬНОСТИ» В УЧЕБНОМ ПЛАНЕ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Всего на изучение учебного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264" w:lineRule="auto"/>
        <w:rPr>
          <w:lang w:val="ru-RU"/>
        </w:rPr>
      </w:pPr>
      <w:r/>
      <w:bookmarkStart w:id="5" w:name="block-3779917"/>
      <w:r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1. «Основы комплексной безопасности».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Культура безопасности жизнедеятельности в современном обществе.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Корпоративный, ин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жизнедеятельности.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Явные и скрытые опасности 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овременных развлечений молодёжи.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Зацепинг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зацепингом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руфингом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Диггерство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диггерство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Паркур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Селфи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паркура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селфи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Флешмоб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 участие во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флешмобе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носящем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Как не стать жертвой информационной войны.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ми пострадавшими; при опасности возгорания).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Обязанности участников дорожного движения. Правила дорожного движения для пешеходов, пассажиров, водителей.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безопасного поведения в общественном транспорте, в такси, маршрутном такси. Правила безопасного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Безопасное поведение на различных видах транспорта.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Электросамокат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Питбайк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Моноколесо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Сегвей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Гироскутер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при езде на средствах индивидуальной мобильности. Административн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ая и уголовная ответственность за нарушение правил при вождении.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 и мопедов. Ответственность за нарушение Правил дорожного движения и мер оказания первой помощи.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рожном и водном транспорте.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и ф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инансовая безопасность. Информационная безопасность Российской Федерации. Угроза информационной безопасности.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Никнейм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Гражданская, админис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тративная и уголовная ответственность в информационной сфере.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еля, в том числе при совершении покупок в Интернете.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нии агрессии, при угрозе возникновения пожара.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Порядок действий при попадании в опасную ситуацию. Порядок действий в случаях, когда потерялся человек.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социуме. Конфликтные ситуации. Способы разрешения конфликтных ситуаций. Опасные проявления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буллингу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кой Федерации. Войска, воинские формирования, службы, которые привлекаются к обороне страны.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Составляющие воинской обязанности в мирное и военное время. Организация воинского учёта. Подготовка граждан к военной службе.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Заключение комиссии по результатам ме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дицинского освидетельствования о годности гражданина к военной службе.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r>
        <w:rPr>
          <w:rFonts w:ascii="Times New Roman" w:hAnsi="Times New Roman"/>
          <w:color w:val="000000"/>
          <w:spacing w:val="-2"/>
          <w:sz w:val="28"/>
        </w:rPr>
        <w:t xml:space="preserve">Вооружённые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Силы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Российской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Фе</w:t>
      </w:r>
      <w:r>
        <w:rPr>
          <w:rFonts w:ascii="Times New Roman" w:hAnsi="Times New Roman"/>
          <w:color w:val="000000"/>
          <w:spacing w:val="-2"/>
          <w:sz w:val="28"/>
        </w:rPr>
        <w:t xml:space="preserve">дерации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r>
        <w:rPr>
          <w:rFonts w:ascii="Times New Roman" w:hAnsi="Times New Roman"/>
          <w:color w:val="000000"/>
          <w:spacing w:val="-2"/>
          <w:sz w:val="28"/>
        </w:rPr>
        <w:t xml:space="preserve">созданы</w:t>
      </w:r>
      <w:r>
        <w:rPr>
          <w:rFonts w:ascii="Times New Roman" w:hAnsi="Times New Roman"/>
          <w:color w:val="000000"/>
          <w:spacing w:val="-2"/>
          <w:sz w:val="28"/>
        </w:rPr>
        <w:t xml:space="preserve"> в 1992 г.).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Дни воинской славы (победные дни) России. Памятные даты России.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Национальные интересы 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сдерживанию и предотвращению военных конфликтов. Гибридная война и способы противодействия 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3. «Военно-профессиональная деятельность».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Выбор воинской профессии. Индивидуальные качества, которыми должны обладать претенденты на командные должности, военные связисты,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водители, военнослужащие, находящиеся на должностях специального назначения.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Организация подготовки офицерских кадров для Воо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ружённых Сил Российской Федерации, МВД России, ФСБ России, МЧС России.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Традиции, ритуалы Воор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Ритуал подъёма и спуска Государственного флага Российской Федерации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Вручение воинской части государственной награды.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4. «Защита населен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ия Российской Федерации от опасных и чрезвычайных ситуаций».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 деятельности государства по защите населения от опасных и чрезвычайных ситуаций.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случае возникновения чрезвычайных ситуаций и других).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еятельность МЧС России.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Подготовка обучаемых гражданской обороне в общеобразовательных организациях.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аварийно-химически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индивидуальной защиты населения. Средства индивидуальной защиты орга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нов дыхания и средства индивидуальной защиты кожи. Использование медицинских средств индивидуальной защиты.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среде и экологическая безопасность».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 xml:space="preserve">GPS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). Безопасность в автономных условиях.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Экологическая безопасность и охрана окружающей среды. Нормы предельно допустимой концентрации вр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едных веществ. Правила использования питьевой воды. Качество продуктов питания. Правила хранения и употребления продуктов 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Федеральная служба по надзору в сфере защиты прав потребителей и благополучия человека (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Роспотребнадзор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). Федеральный закон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 10 января 2002 г. № 7-ФЗ «Об охране окружающей среды».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 xml:space="preserve">TDS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Шумомеры</w:t>
      </w:r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</w:rPr>
        <w:t xml:space="preserve">Люксметры</w:t>
      </w:r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</w:rPr>
        <w:t xml:space="preserve">Бытовые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дозиметры</w:t>
      </w:r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r>
        <w:rPr>
          <w:rFonts w:ascii="Times New Roman" w:hAnsi="Times New Roman"/>
          <w:color w:val="000000"/>
          <w:spacing w:val="-2"/>
          <w:sz w:val="28"/>
        </w:rPr>
        <w:t xml:space="preserve">радиометры</w:t>
      </w:r>
      <w:r>
        <w:rPr>
          <w:rFonts w:ascii="Times New Roman" w:hAnsi="Times New Roman"/>
          <w:color w:val="000000"/>
          <w:spacing w:val="-2"/>
          <w:sz w:val="28"/>
        </w:rPr>
        <w:t xml:space="preserve">).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Бытовые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нитратомеры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6. «Основы против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одействия экстремизму и терроризму».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Разновидности экстремистской деятельности. Внешние и внутренние экстремистские угрозы.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Ответственность граждан за участие в экстрем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Противодействие экстремизму и терроризму на государственном уровне. Национальный антитерро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ристический комитет (НАК) и его предназначение. Основные задачи НАК. Федеральный оперативный штаб.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дств дл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проведения ко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нтртеррористической операции.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вы. Терроризм на криминальной основе. Терроризм на национальной основе. Технологический терроризм.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Кибертерроризм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ость. Формирование антитеррористического поведения.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стское течение. Как избежать вербовки в экстремистскую организацию.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жет быть замаскировано взрывное устройство. Безопасное поведение в толпе. Безопасное поведение при захвате в заложники.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7. «Основы здорового образа жизни».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ая база для обеспечения безопасности населения и формирования у него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культуры безопасности, составляющей которой является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Систематические занятия физической культурой и спортом. Выполнение нормативов ГТО. Основные составляющ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Репр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Наркотизм – одна из главных угроз общественному здоровью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Правовые основы государственной политики в сфере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контроля за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Психоактивные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профилактики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психоактивных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8. «Основы медицинских знаний и оказание первой помощи».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Освоение основ 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едицинских знаний.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неинфекционных заболеваний. Как избежать возникно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коронавирусной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 xml:space="preserve">OVID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коронавируса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нарушениях сердечной деятельности. Острая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психоактивными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психоактивными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Составы аптечек для оказания первой помощи в различных условиях.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и способы переноски (транспортировки)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9. «Элементы начальной военной подготовки».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Оружие пехотинца и правила обращения с ним.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Действия в современном общевойсковом бою. Состав и вооружение мотострелк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ового отделения на БМП. Инженерное оборудование позиции солдата. Одиночный окоп.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индивидуальной защиты и оказание первой помощи в бою. Фильтрующий противогаз. Респиратор. Общевойсковой защ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оттаскивания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Сооружения для защиты личного состава. Открытая щель. Перекрытая щель. Блиндаж. Укрытия для боев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ой техники. Убежища для личного состава.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264" w:lineRule="auto"/>
        <w:rPr>
          <w:lang w:val="ru-RU"/>
        </w:rPr>
      </w:pPr>
      <w:r/>
      <w:bookmarkStart w:id="6" w:name="block-3779918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УЧЕБНОГО ПРЕДМЕТА «ОСНОВЫ БЕЗОПАСНОСТИ ЖИЗНЕДЕЯТЕЛЬНОСТИ»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center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результаты, ф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color w:val="000000"/>
          <w:spacing w:val="-2"/>
          <w:sz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</w:r>
      <w:r>
        <w:rPr>
          <w:rFonts w:ascii="Times New Roman" w:hAnsi="Times New Roman"/>
          <w:color w:val="000000"/>
          <w:spacing w:val="-2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изучения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БЖ вкл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ючают: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уважение закона и правопорядка, осознание своих прав, обязанностей и ответственности в об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чивого развития личности, общества и государства;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взаимодействию с обществом и г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осударством в обеспечении безопасности жизни и здоровья населения;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2) патриотическое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 многонационального народа России, российской армии и флота;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бласти обеспечения безопасности жизни и здоровья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3) духовно-нравственное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ду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ховных ценностей российского народа и российского воинства;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риск-ориентированное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смягчению их последствий;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волонтёрства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4) эстетическое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эстетическое отношение к миру в сочетании с культ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урой безопасности жизнедеятельности;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понимание взаимозависимости успешности и полноценного развития и безопасного поведения в повседневной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5) ценности научного познания: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естественно-научных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, общественных,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гуманитарных областях знаний, современной концепции культуры безопасности жизнедеятельности;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понимание научно-практических основ учебного предм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ета ОБЖ, осознание его значения для безопасной и продуктивной жизнедеятельности человека, общества и государства;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действовать в опасных, экстремальных и чрезвычайных ситуациях);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6) физическое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приёмов оказания первой помощи и готовность прим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енять их в случае необходимости;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потребность в регулярном ведении здорового образа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последствий и активное неприятие вредных привычек и иных форм причинения вреда физическому и психическому здоровью;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7) трудовое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труду, осознание значимости трудовой деятельности для развития личности, общества и государства, обеспечения национальной безопасности;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осознанному и ответственному соблюдению требований безопасности в процессе трудовой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интерес 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и способность к образованию и самообразованию на протяжении всей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8) экологическое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 основе соблюдения экологической грамотности и разумного природопользования;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рение представлений о деятельности экологической направленности.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firstLine="600"/>
        <w:jc w:val="center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базовые логические действия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самостоятельно определять ак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устанавливать существенный признак или основания для обоб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щения, сравнения и классификации событий и явлений в области безопасности жизнедеятельности, выявлять их закономерности и противоречия;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определять цели действий применительно к заданной (смоделированной) ситуации, выбирать способы их достижения с учётом са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мостоятельно выделенных критериев в парадигме безопасной жизнедеятельности, оценивать риски возможных последствий для реализации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риск-ориентированного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моделировать объекты (события, явления) в области безопасности личности, общества и государств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а, анализировать их различные состояния для решения познавательных задач, переносить приобретённые знания в повседневную жизнь;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планировать и осуществлять учебные действия в условиях дефицита информации, необходимой для решения стоящей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развивать тв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орческое мышление при решении ситуационных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научной терминологией, ключевыми понятиями и методами в област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 безопасности жизнедеятельности;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анализировать содержание учебных вопросов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раскрывать проблемные вопросы, отражающие несоответствие между реальным (заданным) и наиболее благоприятным состоян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ием объекта (явления) в повседневной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критически оценивать полученные в ходе решения учебных задач результаты, обосновывать предложения по их корректировке в новых условиях;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характеризовать приобретённые знания и навыки, оценивать возможность их реал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в реальных ситуациях;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умения работать с информацией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ности личности;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оценивать достоверность, легитимность информации, её соответствие правовым и моральн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о-этическим нормам;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навыками по предотвращению рисков, профилактике угроз и защите от опасностей цифровой среды;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пасности и гигиены.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умения общения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осуществлять в ходе образовательной деятельности безопасную коммуникацию, переносить принципы её организации в повседне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вную жизнь;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приёмами безопасного межличностного и группового общения; безопасно действовать по избеганию конфл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иктных ситуаций;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аргументированно, логично и ясно излагать свою точку зрения с использованием языковых средств.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умения самоорганизации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и формулироват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ь собственные задачи в образовательной деятельности и жизненных ситуациях;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самостоятельно выявлять проблемные вопросы, выбирать оптимальный способ и составлять план их решения в конкретных условиях;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делать осознанный выбор в новой ситуации, аргументировать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оценивать приобретённый опыт;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образовательный и культурный уровень.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умения самоконтроля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принятия себя и других как части регулятивных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оценивать образовательные ситуации; предвидеть трудности, которые могут воз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никнуть при их разрешении; вносить коррективы в свою деятельность; контролировать соответствие результатов целям;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приёмы рефлексии для анализа и оценки образовательной ситуации, выбора оптимального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принимать себя, понимая свои недоста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тки и достоинства, невозможности контроля всего вокруг;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принимать мотивы и аргументы других при анализе и оценке образовательной ситуации; признавать право на ошибку свою и чужую.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умения совместной деятельности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использовать преимущества командной и индивидуальной работы в конкретной учебной ситуации;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лять роли, принимать правила учебного взаимодействия, обсуждать процесс и результат совместной работы, договариваться о результатах);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оценивать свой вклад и вклад каждого участника команды в общий результат по совместно разработанным критериям;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осуществлят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firstLine="600"/>
        <w:jc w:val="center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и устойчивого развития личности, общества и государства.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ультаты, формируемые в ходе изучения ОБЖ, должны обеспечивать: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нание порядка действий в экстремальных и чрезвычайных ситуациях;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рте, умение применять их на практике; знание о порядке действий в опасных, экстремальных и чрезвычайных ситуациях на транспорте;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4) знания о способах безопасного поведения в природной среде, умение применять их на практике; знание порядка действий при чрез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вычайных ситуациях природного характера;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5) владение основами медицинских знаний: владение приёмами оказания первой помощи п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тношения к вредным привычкам; знания о необходимых действиях при чрезвычайных ситуациях биолого-социального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характера; умение предупреждать опасные явления и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противодействовать им;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7) знания о способах безопасного поведения в цифровой среде, умение применять их на практике; уме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8) знание основ пожарной безопасности, умение применять их на практике для предупреждения пожаров;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11) з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бязанностей гражданина в этой области;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нии безопасности.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128.4.5.4. Образовательная организация вправе самостоятельно определять после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довательность для освоения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/>
      <w:bookmarkStart w:id="7" w:name="block-3779919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ПЛАНИРОВАНИЕ</w:t>
      </w:r>
      <w:r>
        <w:rPr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10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>
        <w:rPr>
          <w:lang w:val="ru-RU"/>
        </w:rPr>
      </w:r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61"/>
        <w:gridCol w:w="3329"/>
        <w:gridCol w:w="2159"/>
        <w:gridCol w:w="339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комплексной безопасности"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Опасности вовлечения молодёжи в противозаконную и антиобщественную деятельность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транспорте</w:t>
            </w:r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"Основы обороны государства"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Правовые основы подготовки граждан к военной службе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"Военно-профессиональная деятельность"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символы, традиции и ритуалы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Вооружённых Силах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чрезвычайных ситуаций"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защиты населения от опасных и чрезвычайных ситуаций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"Безопасность в природной среде и экологическая безопасность"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безопасного поведения на природе и экологическая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противодействия экстремизму и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терроризму"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терроризм - угрозы обществу и каждому человеку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Противодействие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экстремизму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терроризму</w:t>
            </w:r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здорового образа жизни"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как средство обеспечения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 личности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8.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медицинских знаний и оказание первой помощи"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медицинских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"Элементы начальной военной подготовки"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0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9.1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службы</w:t>
            </w:r>
            <w:r/>
          </w:p>
        </w:tc>
        <w:tc>
          <w:tcPr>
            <w:tcMar>
              <w:left w:w="100" w:type="dxa"/>
              <w:top w:w="50" w:type="dxa"/>
            </w:tcMar>
            <w:tcW w:w="18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471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1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98"/>
        <w:gridCol w:w="3230"/>
        <w:gridCol w:w="2176"/>
        <w:gridCol w:w="344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"Основы комплексной безопасности"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различных видах транспорта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финансовая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общественных местах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социуме</w:t>
            </w:r>
            <w:r/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чрезвычайных ситуаций"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оборона</w:t>
            </w:r>
            <w:r/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противодействия экстремизму и терроризму"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терроризм на современном этапе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террористической опасности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здорового образа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жизни"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Наркотизм - одна из главных угроз общественному здоровью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медицинских знаний и оказание первой помощи"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правила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её оказания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"Основы обороны государства"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безопасности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"Военно-профессиональная деятельность"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службы</w:t>
            </w:r>
            <w:r/>
          </w:p>
        </w:tc>
        <w:tc>
          <w:tcPr>
            <w:tcMar>
              <w:left w:w="100" w:type="dxa"/>
              <w:top w:w="50" w:type="dxa"/>
            </w:tcMar>
            <w:tcW w:w="186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9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479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1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center"/>
        <w:spacing w:after="0"/>
        <w:rPr>
          <w:lang w:val="ru-RU"/>
        </w:rPr>
      </w:pPr>
      <w:r/>
      <w:bookmarkStart w:id="8" w:name="block-3779921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>
        <w:rPr>
          <w:lang w:val="ru-RU"/>
        </w:rPr>
        <w:t xml:space="preserve"> </w:t>
      </w:r>
      <w:r>
        <w:rPr>
          <w:lang w:val="ru-RU"/>
        </w:rPr>
      </w:r>
    </w:p>
    <w:p>
      <w:pPr>
        <w:ind w:left="120"/>
        <w:jc w:val="center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10 КЛАСС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95"/>
        <w:gridCol w:w="6551"/>
        <w:gridCol w:w="24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культуры безопасности жизнедеятельности населения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Личностный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 в обеспечении безопасности жизнедеятельности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не стать участником информационной войны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Транспортная безопасность и правила безопасности для участников дорожного движения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об обороне государства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о воинской обязанности и военной службе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воинского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учёта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Допризывная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Есть такая профессия - Родину защищать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граждан по военно-учётным специальностям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подготовки офицерских кадров для Вооружённых Сил Российской Федерации, МВД России,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ФСБ России, МЧС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символы и традиции Вооружённых Сил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Вооружённых Сил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Ритуалы Вооружённых Сил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основные направления по организации защиты населения от опасных и чрезвычайных ситуаций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гражданина в области организации защиты населения от опасных и чрезвычайных ситуаций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опасности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природной среде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Чрезвычайные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ситуации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безопасность и охрана окружающей среды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защиты и предупреждения от экологических опасностей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явлений экстремизма и терроризма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Противодействие экстремизму и терроризму и ответственность граждан в этой области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Общегосударственное противодействие экстремизму и терроризму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государства при реальной угрозе террористической опасности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законодательства Российской Федерации в области формирования здорового образа жизни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Преимущества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здорового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санитарно-эпидемиологического благополучия населения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Неинфекционные и инфекционные заболевания и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возникновении биолого-социальных чрезвычайных ситуаций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Строевая подготовка и воинское приветствие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Оружие пехотинца и правила обращения с ним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бою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индивидуальной защиты и оказание первой помощи в бою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1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center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jc w:val="center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11 КЛАСС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01"/>
        <w:gridCol w:w="6516"/>
        <w:gridCol w:w="242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использовании современных средств индивидуального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Предназначение дорожных знаков и сигнальной разметки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на воздушном, железнодорожном и водном транспорте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и правила обращения со средствами бытовой химии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Аварии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коммунальных системах жизнеобеспечения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информационной безопасности и финансовой безопасности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потребителя, в том числе при совершении покупок в Интернете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общественных местах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при попадании в опасную ситуацию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ситуаций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способствующие и препятствующие эскалации конфликта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Составляющие государственной системы по защите населения от опасных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чрезвычайных ситуаций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Прогнозирование и мониторинг чрезвычайных ситуаций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оборона и ее основные задачи на современном этапе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Инженерная защита населения и неотложные работы в зоне поражения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Нормативно-правовые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документы, регулирующие борьбу с терроризмом и экстремизмом в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 виды экстремистской и террористической деятельности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противодействия вовлечению в экстремистскую и террористическую деятельность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безопасному поведению при угрозе и в случае проведения террористического акта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сфере борьбы с наркотизмом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наркотизма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- залог спасения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и здоровья пострадавших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различных неотложных состояниях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переноскм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военной истории России и дни воинской славы (победные дни)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Стратегические национальные приоритеты и источники угроз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безопасность и военная политика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Вооружённых Сил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отдельные рода Вооружённых Сил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должности, звания и военная форма одежды, а также знаки различия военнослужащих Вооружённых Сил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Вооружённых Сил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вооружения, военной и специальной техники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Вооружённых Силах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Поступление на военную службу по контракту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1004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Альтернативная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служба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1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9" w:name="block-3779920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ОБЕСПЕЧЕНИЕ ОБРАЗОВАТЕЛЬНОГО ПРОЦЕССА</w:t>
      </w:r>
      <w:r>
        <w:rPr>
          <w:lang w:val="ru-RU"/>
        </w:rPr>
      </w:r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</w:t>
      </w:r>
      <w:r>
        <w:rPr>
          <w:rFonts w:ascii="Times New Roman" w:hAnsi="Times New Roman"/>
          <w:color w:val="000000"/>
          <w:sz w:val="28"/>
          <w:lang w:val="ru-RU"/>
        </w:rPr>
        <w:t xml:space="preserve">вещение»</w:t>
      </w:r>
      <w:r>
        <w:rPr>
          <w:sz w:val="28"/>
          <w:lang w:val="ru-RU"/>
        </w:rPr>
        <w:br/>
      </w:r>
      <w:bookmarkStart w:id="10" w:name="1cf67330-67df-428f-9a99-0efe5a0fdace"/>
      <w:r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bookmarkStart w:id="11" w:name="_GoBack"/>
      <w:r/>
      <w:bookmarkEnd w:id="9"/>
      <w:r/>
      <w:bookmarkEnd w:id="11"/>
      <w:r/>
      <w:r/>
    </w:p>
    <w:sectPr>
      <w:footnotePr/>
      <w:endnotePr/>
      <w:type w:val="nextPage"/>
      <w:pgSz w:w="11906" w:h="16383" w:orient="portrait"/>
      <w:pgMar w:top="851" w:right="1134" w:bottom="170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2"/>
    <w:link w:val="65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2"/>
    <w:link w:val="65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2"/>
    <w:link w:val="66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2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7"/>
    <w:next w:val="65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7"/>
    <w:next w:val="65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7"/>
    <w:next w:val="65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7"/>
    <w:next w:val="65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7"/>
    <w:next w:val="65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2"/>
    <w:link w:val="674"/>
    <w:uiPriority w:val="10"/>
    <w:rPr>
      <w:sz w:val="48"/>
      <w:szCs w:val="48"/>
    </w:rPr>
  </w:style>
  <w:style w:type="character" w:styleId="37">
    <w:name w:val="Subtitle Char"/>
    <w:basedOn w:val="662"/>
    <w:link w:val="672"/>
    <w:uiPriority w:val="11"/>
    <w:rPr>
      <w:sz w:val="24"/>
      <w:szCs w:val="24"/>
    </w:rPr>
  </w:style>
  <w:style w:type="paragraph" w:styleId="38">
    <w:name w:val="Quote"/>
    <w:basedOn w:val="657"/>
    <w:next w:val="65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7"/>
    <w:next w:val="65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2"/>
    <w:link w:val="665"/>
    <w:uiPriority w:val="99"/>
  </w:style>
  <w:style w:type="character" w:styleId="45">
    <w:name w:val="Footer Char"/>
    <w:basedOn w:val="662"/>
    <w:link w:val="680"/>
    <w:uiPriority w:val="99"/>
  </w:style>
  <w:style w:type="character" w:styleId="47">
    <w:name w:val="Caption Char"/>
    <w:basedOn w:val="679"/>
    <w:link w:val="680"/>
    <w:uiPriority w:val="99"/>
  </w:style>
  <w:style w:type="table" w:styleId="49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5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66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9">
    <w:name w:val="Heading 2"/>
    <w:basedOn w:val="657"/>
    <w:next w:val="657"/>
    <w:link w:val="66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60">
    <w:name w:val="Heading 3"/>
    <w:basedOn w:val="657"/>
    <w:next w:val="657"/>
    <w:link w:val="669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61">
    <w:name w:val="Heading 4"/>
    <w:basedOn w:val="657"/>
    <w:next w:val="657"/>
    <w:link w:val="670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Header"/>
    <w:basedOn w:val="657"/>
    <w:link w:val="66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66" w:customStyle="1">
    <w:name w:val="Верхний колонтитул Знак"/>
    <w:basedOn w:val="662"/>
    <w:link w:val="665"/>
    <w:uiPriority w:val="99"/>
  </w:style>
  <w:style w:type="character" w:styleId="667" w:customStyle="1">
    <w:name w:val="Заголовок 1 Знак"/>
    <w:basedOn w:val="662"/>
    <w:link w:val="65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68" w:customStyle="1">
    <w:name w:val="Заголовок 2 Знак"/>
    <w:basedOn w:val="662"/>
    <w:link w:val="65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69" w:customStyle="1">
    <w:name w:val="Заголовок 3 Знак"/>
    <w:basedOn w:val="662"/>
    <w:link w:val="66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70" w:customStyle="1">
    <w:name w:val="Заголовок 4 Знак"/>
    <w:basedOn w:val="662"/>
    <w:link w:val="66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71">
    <w:name w:val="Normal Indent"/>
    <w:basedOn w:val="657"/>
    <w:uiPriority w:val="99"/>
    <w:unhideWhenUsed/>
    <w:pPr>
      <w:ind w:left="720"/>
    </w:pPr>
  </w:style>
  <w:style w:type="paragraph" w:styleId="672">
    <w:name w:val="Subtitle"/>
    <w:basedOn w:val="657"/>
    <w:next w:val="657"/>
    <w:link w:val="673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73" w:customStyle="1">
    <w:name w:val="Подзаголовок Знак"/>
    <w:basedOn w:val="662"/>
    <w:link w:val="67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74">
    <w:name w:val="Title"/>
    <w:basedOn w:val="657"/>
    <w:next w:val="657"/>
    <w:link w:val="675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5" w:customStyle="1">
    <w:name w:val="Название Знак"/>
    <w:basedOn w:val="662"/>
    <w:link w:val="674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6">
    <w:name w:val="Emphasis"/>
    <w:basedOn w:val="662"/>
    <w:uiPriority w:val="20"/>
    <w:qFormat/>
    <w:rPr>
      <w:i/>
      <w:iCs/>
    </w:rPr>
  </w:style>
  <w:style w:type="character" w:styleId="677">
    <w:name w:val="Hyperlink"/>
    <w:basedOn w:val="662"/>
    <w:uiPriority w:val="99"/>
    <w:unhideWhenUsed/>
    <w:rPr>
      <w:color w:val="0000ff" w:themeColor="hyperlink"/>
      <w:u w:val="single"/>
    </w:rPr>
  </w:style>
  <w:style w:type="table" w:styleId="678">
    <w:name w:val="Table Grid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79">
    <w:name w:val="Caption"/>
    <w:basedOn w:val="657"/>
    <w:next w:val="65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680">
    <w:name w:val="Footer"/>
    <w:basedOn w:val="657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62"/>
    <w:link w:val="68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Петров</cp:lastModifiedBy>
  <cp:revision>4</cp:revision>
  <dcterms:created xsi:type="dcterms:W3CDTF">2023-09-10T12:41:00Z</dcterms:created>
  <dcterms:modified xsi:type="dcterms:W3CDTF">2023-12-24T09:38:31Z</dcterms:modified>
</cp:coreProperties>
</file>