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C4" w:rsidRDefault="00793CC4" w:rsidP="00793CC4">
      <w:pPr>
        <w:pStyle w:val="a3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793CC4" w:rsidRDefault="00793CC4" w:rsidP="00793CC4">
      <w:pPr>
        <w:pStyle w:val="a3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№27 </w:t>
      </w:r>
    </w:p>
    <w:p w:rsidR="00793CC4" w:rsidRDefault="00793CC4" w:rsidP="00793CC4">
      <w:pPr>
        <w:pStyle w:val="a3"/>
        <w:rPr>
          <w:b/>
          <w:bCs/>
          <w:sz w:val="24"/>
        </w:rPr>
      </w:pPr>
      <w:r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793CC4" w:rsidRDefault="00793CC4" w:rsidP="00793CC4">
      <w:pPr>
        <w:pStyle w:val="a3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</w:t>
      </w:r>
    </w:p>
    <w:p w:rsidR="00793CC4" w:rsidRDefault="00793CC4" w:rsidP="00793CC4">
      <w:pPr>
        <w:pStyle w:val="a3"/>
        <w:rPr>
          <w:b/>
          <w:sz w:val="24"/>
        </w:rPr>
      </w:pPr>
      <w:r>
        <w:rPr>
          <w:b/>
          <w:sz w:val="24"/>
        </w:rPr>
        <w:t>170028 город Тверь, ул. Орджоникидзе, 39</w:t>
      </w:r>
    </w:p>
    <w:p w:rsidR="00793CC4" w:rsidRDefault="00793CC4" w:rsidP="00793CC4">
      <w:pPr>
        <w:rPr>
          <w:sz w:val="24"/>
          <w:szCs w:val="24"/>
        </w:rPr>
      </w:pPr>
    </w:p>
    <w:p w:rsidR="00793CC4" w:rsidRDefault="00793CC4" w:rsidP="00AA0881">
      <w:pPr>
        <w:shd w:val="clear" w:color="auto" w:fill="FFFFFF"/>
        <w:spacing w:after="300" w:line="450" w:lineRule="atLeast"/>
        <w:jc w:val="center"/>
        <w:outlineLvl w:val="1"/>
        <w:rPr>
          <w:rFonts w:ascii="Times New Roman" w:eastAsia="Times New Roman" w:hAnsi="Times New Roman" w:cs="Times New Roman"/>
          <w:color w:val="253856"/>
          <w:spacing w:val="-30"/>
          <w:sz w:val="32"/>
          <w:szCs w:val="32"/>
          <w:lang w:eastAsia="ru-RU"/>
        </w:rPr>
      </w:pPr>
      <w:bookmarkStart w:id="0" w:name="_GoBack"/>
      <w:bookmarkEnd w:id="0"/>
    </w:p>
    <w:p w:rsidR="00AA0881" w:rsidRPr="00AA0881" w:rsidRDefault="00AA0881" w:rsidP="00AA0881">
      <w:pPr>
        <w:shd w:val="clear" w:color="auto" w:fill="FFFFFF"/>
        <w:spacing w:after="300" w:line="450" w:lineRule="atLeast"/>
        <w:jc w:val="center"/>
        <w:outlineLvl w:val="1"/>
        <w:rPr>
          <w:rFonts w:ascii="Times New Roman" w:eastAsia="Times New Roman" w:hAnsi="Times New Roman" w:cs="Times New Roman"/>
          <w:color w:val="253856"/>
          <w:spacing w:val="-30"/>
          <w:sz w:val="32"/>
          <w:szCs w:val="32"/>
          <w:lang w:eastAsia="ru-RU"/>
        </w:rPr>
      </w:pPr>
      <w:r w:rsidRPr="00AA0881">
        <w:rPr>
          <w:rFonts w:ascii="Times New Roman" w:eastAsia="Times New Roman" w:hAnsi="Times New Roman" w:cs="Times New Roman"/>
          <w:color w:val="253856"/>
          <w:spacing w:val="-30"/>
          <w:sz w:val="32"/>
          <w:szCs w:val="32"/>
          <w:lang w:eastAsia="ru-RU"/>
        </w:rPr>
        <w:t>Система выявления, поддержки и развития способностей и талантов</w:t>
      </w:r>
    </w:p>
    <w:p w:rsidR="00AA0881" w:rsidRPr="00AA0881" w:rsidRDefault="00AA0881" w:rsidP="00AA0881">
      <w:pPr>
        <w:shd w:val="clear" w:color="auto" w:fill="FFFFFF"/>
        <w:spacing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b/>
          <w:bCs/>
          <w:i/>
          <w:iCs/>
          <w:color w:val="253856"/>
          <w:sz w:val="24"/>
          <w:szCs w:val="24"/>
          <w:lang w:eastAsia="ru-RU"/>
        </w:rPr>
        <w:t>Цели и задачи: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выявление, поддержка и развитие способностей и талантов у детей и молодежи;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- выявление, поддержка и развитие способностей и талантов </w:t>
      </w:r>
      <w:proofErr w:type="gramStart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у</w:t>
      </w:r>
      <w:proofErr w:type="gramEnd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 обучающихся с ОВЗ;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 - охват </w:t>
      </w:r>
      <w:proofErr w:type="gramStart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обучающихся</w:t>
      </w:r>
      <w:proofErr w:type="gramEnd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 дополнительным образованием;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 - подготовка педагогических работников по вопросам выявления, поддержки и развития способностей и талантов у детей и молодежи;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 - осуществление психолого-педагогического сопровождения способных и талантливых детей и молодежи;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-осуществление содействия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 - межведомственное и межуровневое взаимодействие в  вопросах выявления, поддержки и развития способностей и талантов у детей и молодежи.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b/>
          <w:bCs/>
          <w:i/>
          <w:iCs/>
          <w:color w:val="253856"/>
          <w:sz w:val="24"/>
          <w:szCs w:val="24"/>
          <w:lang w:eastAsia="ru-RU"/>
        </w:rPr>
        <w:t>Показатели: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i/>
          <w:iCs/>
          <w:color w:val="253856"/>
          <w:sz w:val="24"/>
          <w:szCs w:val="24"/>
          <w:lang w:eastAsia="ru-RU"/>
        </w:rPr>
        <w:t> </w:t>
      </w: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доля детей в возрасте от 5 до 18 лет, охваченных дополнительным образованием;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доля обучающихся, принимающих участие в муниципальном этапе всероссийской олимпиады школьников;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- доля обучающихся, участвующих в различных формах </w:t>
      </w:r>
      <w:proofErr w:type="spellStart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внеучебной</w:t>
      </w:r>
      <w:proofErr w:type="spellEnd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 деятельности (научные общества, исследовательские проекты и т.п.);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доля обучающихся, участвующих в образовательных программах олимпиадной подготовки, профильных сменах, мастер-классах;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- доля детей в возрасте от 5 до 18 лет, охваченных дополнительными общеразвивающими программами технической и </w:t>
      </w:r>
      <w:proofErr w:type="gramStart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естественно-научной</w:t>
      </w:r>
      <w:proofErr w:type="gramEnd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 направленности;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доля победителей областных, всероссийских и международных конкурсов и фестивалей от общего количества участников;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- доля педагогов, прошедших </w:t>
      </w:r>
      <w:proofErr w:type="gramStart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обучение по программам</w:t>
      </w:r>
      <w:proofErr w:type="gramEnd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 и методикам работы с одаренными детьми;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- доля </w:t>
      </w:r>
      <w:proofErr w:type="gramStart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обучающихся</w:t>
      </w:r>
      <w:proofErr w:type="gramEnd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 по индивидуальным учебным планам;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-доля способных и талантливых детей, охваченных психолого-педагогическим сопровождением;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lastRenderedPageBreak/>
        <w:t xml:space="preserve">- доля </w:t>
      </w:r>
      <w:proofErr w:type="gramStart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обучающихся</w:t>
      </w:r>
      <w:proofErr w:type="gramEnd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, вовлеченных в различные формы наставничества;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доля педагогов, внедряющих программы по работе с одаренными и талантливыми детьми.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b/>
          <w:bCs/>
          <w:i/>
          <w:iCs/>
          <w:color w:val="253856"/>
          <w:sz w:val="24"/>
          <w:szCs w:val="24"/>
          <w:lang w:eastAsia="ru-RU"/>
        </w:rPr>
        <w:t>Методы сбора и обработки информации: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организация системы диагностики одаренности детей и молодежи (анкетирования, педагогические наблюдения, изучение результатов деятельности, психолого-педагогические диагностики);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анализ достижений детей и молодежи в конкурсных мероприятиях и соревнованиях различного уровня (посредством создания статистических форм сбора данных);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изучение результатов участия обучающихся района во всероссийской олимпиаде школьников (посредством составления рейтинговых таблиц результатов школьного и муниципального этапов, изучения результатов регионального и заключительного этапов);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изучение результатов деятельности  образовательных организаций;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- создание «Банка </w:t>
      </w:r>
      <w:proofErr w:type="gramStart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одаренных</w:t>
      </w:r>
      <w:proofErr w:type="gramEnd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 обучающихся».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b/>
          <w:bCs/>
          <w:i/>
          <w:iCs/>
          <w:color w:val="253856"/>
          <w:sz w:val="24"/>
          <w:szCs w:val="24"/>
          <w:lang w:eastAsia="ru-RU"/>
        </w:rPr>
        <w:t>Мониторинг показателей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данные мониторингов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b/>
          <w:bCs/>
          <w:i/>
          <w:iCs/>
          <w:color w:val="253856"/>
          <w:sz w:val="24"/>
          <w:szCs w:val="24"/>
          <w:lang w:eastAsia="ru-RU"/>
        </w:rPr>
        <w:t>Анализ, адресные рекомендации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proofErr w:type="gramStart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направлены</w:t>
      </w:r>
      <w:proofErr w:type="gramEnd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 следующим субъектам образовательного процесса: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обучающимся;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родителям (</w:t>
      </w:r>
      <w:proofErr w:type="spellStart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законныс</w:t>
      </w:r>
      <w:proofErr w:type="spellEnd"/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 xml:space="preserve"> представителям);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руководителям, заместителям руководителя, педагогам образовательных организаций.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b/>
          <w:bCs/>
          <w:i/>
          <w:iCs/>
          <w:color w:val="253856"/>
          <w:sz w:val="24"/>
          <w:szCs w:val="24"/>
          <w:lang w:eastAsia="ru-RU"/>
        </w:rPr>
        <w:t>Мероприятия, меры, управленческие решения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проведение конкурсов профессионального мастерства с целью поддержки специалистов, работающих со способными и талантливыми детьми и молодёжью;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проведение конкурсов образовательных программ для способных и талантливых детей и молодёжи;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принятие мер по стимулированию и поощрению способных и талантливых детей и молодёжи;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проведение мероприятий, ориентированных на выявление, поддержку и развитие способностей и талантов у детей и молодёжи;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проведение мероприятий, ориентированных на подготовку педагогических работников по вопросам развития способностей и талантов у детей и молодёжи;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- разработка муниципального задания образовательным организациям, осуществляющим дополнительное профессиональное образование, для повышения квалификации руководителей образовательных организаций на следующий календарный год.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b/>
          <w:bCs/>
          <w:i/>
          <w:iCs/>
          <w:color w:val="253856"/>
          <w:sz w:val="24"/>
          <w:szCs w:val="24"/>
          <w:lang w:eastAsia="ru-RU"/>
        </w:rPr>
        <w:t>Анализ эффективности принятых мер</w:t>
      </w:r>
    </w:p>
    <w:p w:rsidR="00AA0881" w:rsidRPr="00AA0881" w:rsidRDefault="00AA0881" w:rsidP="00AA0881">
      <w:pPr>
        <w:shd w:val="clear" w:color="auto" w:fill="FFFFFF"/>
        <w:spacing w:before="150" w:after="150" w:line="240" w:lineRule="auto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</w:pPr>
      <w:r w:rsidRPr="00AA0881">
        <w:rPr>
          <w:rFonts w:ascii="Varela Round" w:eastAsia="Times New Roman" w:hAnsi="Varela Round" w:cs="Times New Roman"/>
          <w:color w:val="253856"/>
          <w:sz w:val="24"/>
          <w:szCs w:val="24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193730" w:rsidRDefault="00193730"/>
    <w:sectPr w:rsidR="0019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ela Rou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D1"/>
    <w:rsid w:val="00193730"/>
    <w:rsid w:val="00515B55"/>
    <w:rsid w:val="00793CC4"/>
    <w:rsid w:val="008F6DD1"/>
    <w:rsid w:val="00A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CC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3CC4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CC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3CC4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2023-10-11T12:13:00Z</dcterms:created>
  <dcterms:modified xsi:type="dcterms:W3CDTF">2023-10-11T12:20:00Z</dcterms:modified>
</cp:coreProperties>
</file>