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2A" w:rsidRPr="00D763DC" w:rsidRDefault="00B31AD8">
      <w:pPr>
        <w:spacing w:after="0" w:line="408" w:lineRule="auto"/>
        <w:ind w:left="120"/>
        <w:jc w:val="center"/>
        <w:rPr>
          <w:lang w:val="ru-RU"/>
        </w:rPr>
      </w:pPr>
      <w:bookmarkStart w:id="0" w:name="block-23780897"/>
      <w:r w:rsidRPr="00D763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402A" w:rsidRPr="00D763DC" w:rsidRDefault="00B31AD8">
      <w:pPr>
        <w:spacing w:after="0" w:line="408" w:lineRule="auto"/>
        <w:ind w:left="120"/>
        <w:jc w:val="center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189c85-0929-46a5-b977-308f701b6bbe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402A" w:rsidRPr="00D763DC" w:rsidRDefault="00B31AD8">
      <w:pPr>
        <w:spacing w:after="0" w:line="408" w:lineRule="auto"/>
        <w:ind w:left="120"/>
        <w:jc w:val="center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63b0088-d481-4bf6-abda-926c4005240f"/>
      <w:r w:rsidRPr="00D763DC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города Твери‌</w:t>
      </w:r>
      <w:bookmarkEnd w:id="2"/>
      <w:r w:rsidRPr="00D763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63DC">
        <w:rPr>
          <w:rFonts w:ascii="Times New Roman" w:hAnsi="Times New Roman"/>
          <w:color w:val="000000"/>
          <w:sz w:val="28"/>
          <w:lang w:val="ru-RU"/>
        </w:rPr>
        <w:t>​</w:t>
      </w:r>
    </w:p>
    <w:p w:rsidR="0091402A" w:rsidRDefault="00B31A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</w:t>
      </w:r>
      <w:proofErr w:type="gramStart"/>
      <w:r>
        <w:rPr>
          <w:rFonts w:ascii="Times New Roman" w:hAnsi="Times New Roman"/>
          <w:b/>
          <w:color w:val="000000"/>
          <w:sz w:val="28"/>
        </w:rPr>
        <w:t>10 "</w:t>
      </w:r>
      <w:proofErr w:type="gramEnd"/>
    </w:p>
    <w:p w:rsidR="0091402A" w:rsidRDefault="0091402A">
      <w:pPr>
        <w:spacing w:after="0"/>
        <w:ind w:left="120"/>
      </w:pPr>
    </w:p>
    <w:p w:rsidR="0091402A" w:rsidRDefault="0091402A">
      <w:pPr>
        <w:spacing w:after="0"/>
        <w:ind w:left="120"/>
      </w:pPr>
    </w:p>
    <w:p w:rsidR="0091402A" w:rsidRDefault="0091402A">
      <w:pPr>
        <w:spacing w:after="0"/>
        <w:ind w:left="120"/>
      </w:pPr>
    </w:p>
    <w:p w:rsidR="0091402A" w:rsidRDefault="009140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63DC" w:rsidTr="000D4161">
        <w:tc>
          <w:tcPr>
            <w:tcW w:w="3114" w:type="dxa"/>
          </w:tcPr>
          <w:p w:rsidR="00C53FFE" w:rsidRPr="0040209D" w:rsidRDefault="00A54F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4F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3DC" w:rsidRPr="00D763DC" w:rsidRDefault="00D763DC" w:rsidP="00D76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763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63DC" w:rsidRDefault="00D763DC" w:rsidP="00D76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763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763DC" w:rsidRPr="00D763DC" w:rsidRDefault="00D763DC" w:rsidP="00D76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763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3DC" w:rsidRPr="00D763DC" w:rsidRDefault="00D763DC" w:rsidP="00D763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763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D763DC" w:rsidRPr="00D763DC" w:rsidRDefault="00D763DC" w:rsidP="00D76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763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ПС №81/10 </w:t>
            </w:r>
          </w:p>
          <w:p w:rsidR="00D763DC" w:rsidRPr="00D763DC" w:rsidRDefault="00D763DC" w:rsidP="00D76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763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0E6D86" w:rsidRDefault="00A54F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A54F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402A" w:rsidRPr="00D763DC" w:rsidRDefault="0091402A">
      <w:pPr>
        <w:spacing w:after="0"/>
        <w:ind w:left="120"/>
        <w:rPr>
          <w:lang w:val="ru-RU"/>
        </w:rPr>
      </w:pPr>
    </w:p>
    <w:p w:rsidR="0091402A" w:rsidRPr="00D763DC" w:rsidRDefault="00B31AD8">
      <w:pPr>
        <w:spacing w:after="0"/>
        <w:ind w:left="120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‌</w:t>
      </w:r>
    </w:p>
    <w:p w:rsidR="0091402A" w:rsidRPr="00D763DC" w:rsidRDefault="0091402A">
      <w:pPr>
        <w:spacing w:after="0"/>
        <w:ind w:left="120"/>
        <w:rPr>
          <w:lang w:val="ru-RU"/>
        </w:rPr>
      </w:pPr>
    </w:p>
    <w:p w:rsidR="0091402A" w:rsidRPr="00D763DC" w:rsidRDefault="0091402A">
      <w:pPr>
        <w:spacing w:after="0"/>
        <w:ind w:left="120"/>
        <w:rPr>
          <w:lang w:val="ru-RU"/>
        </w:rPr>
      </w:pPr>
    </w:p>
    <w:p w:rsidR="0091402A" w:rsidRPr="00D763DC" w:rsidRDefault="0091402A">
      <w:pPr>
        <w:spacing w:after="0"/>
        <w:ind w:left="120"/>
        <w:rPr>
          <w:lang w:val="ru-RU"/>
        </w:rPr>
      </w:pPr>
    </w:p>
    <w:p w:rsidR="0091402A" w:rsidRPr="00D763DC" w:rsidRDefault="00B31AD8">
      <w:pPr>
        <w:spacing w:after="0" w:line="408" w:lineRule="auto"/>
        <w:ind w:left="120"/>
        <w:jc w:val="center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B31AD8">
      <w:pPr>
        <w:spacing w:after="0" w:line="408" w:lineRule="auto"/>
        <w:ind w:left="120"/>
        <w:jc w:val="center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91402A" w:rsidRPr="00D763DC" w:rsidRDefault="00B31AD8">
      <w:pPr>
        <w:spacing w:after="0" w:line="408" w:lineRule="auto"/>
        <w:ind w:left="120"/>
        <w:jc w:val="center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91402A">
      <w:pPr>
        <w:spacing w:after="0"/>
        <w:ind w:left="120"/>
        <w:jc w:val="center"/>
        <w:rPr>
          <w:lang w:val="ru-RU"/>
        </w:rPr>
      </w:pPr>
    </w:p>
    <w:p w:rsidR="0091402A" w:rsidRPr="00D763DC" w:rsidRDefault="00B31AD8">
      <w:pPr>
        <w:spacing w:after="0"/>
        <w:ind w:left="120"/>
        <w:jc w:val="center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6381b5f-17d8-42b1-af10-bd6acb6f4f9c"/>
      <w:r w:rsidRPr="00D763DC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e664f6-9509-4f54-abb4-bee3538f67a4"/>
      <w:r w:rsidRPr="00D763D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54F5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63DC">
        <w:rPr>
          <w:rFonts w:ascii="Times New Roman" w:hAnsi="Times New Roman"/>
          <w:color w:val="000000"/>
          <w:sz w:val="28"/>
          <w:lang w:val="ru-RU"/>
        </w:rPr>
        <w:t>​</w:t>
      </w:r>
    </w:p>
    <w:p w:rsidR="0091402A" w:rsidRPr="00D763DC" w:rsidRDefault="0091402A">
      <w:pPr>
        <w:spacing w:after="0"/>
        <w:ind w:left="120"/>
        <w:rPr>
          <w:lang w:val="ru-RU"/>
        </w:rPr>
      </w:pPr>
    </w:p>
    <w:p w:rsidR="0091402A" w:rsidRPr="00D763DC" w:rsidRDefault="0091402A">
      <w:pPr>
        <w:rPr>
          <w:lang w:val="ru-RU"/>
        </w:rPr>
        <w:sectPr w:rsidR="0091402A" w:rsidRPr="00D763DC">
          <w:pgSz w:w="11906" w:h="16383"/>
          <w:pgMar w:top="1134" w:right="850" w:bottom="1134" w:left="1701" w:header="720" w:footer="720" w:gutter="0"/>
          <w:cols w:space="720"/>
        </w:sect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bookmarkStart w:id="5" w:name="block-23780895"/>
      <w:bookmarkEnd w:id="0"/>
      <w:r w:rsidRPr="00D763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2a3c4d4-6016-4b94-88b2-2315f4be4bed"/>
      <w:r w:rsidRPr="00D763DC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6"/>
      <w:r w:rsidRPr="00D763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91402A" w:rsidRPr="00D763DC" w:rsidRDefault="00B31AD8">
      <w:pPr>
        <w:spacing w:after="0" w:line="264" w:lineRule="auto"/>
        <w:ind w:firstLine="600"/>
        <w:jc w:val="right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91402A" w:rsidRPr="00D763DC" w:rsidRDefault="00B31AD8">
      <w:pPr>
        <w:spacing w:after="0" w:line="264" w:lineRule="auto"/>
        <w:ind w:firstLine="600"/>
        <w:jc w:val="center"/>
        <w:rPr>
          <w:lang w:val="ru-RU"/>
        </w:rPr>
      </w:pPr>
      <w:bookmarkStart w:id="7" w:name="_GoBack"/>
      <w:bookmarkEnd w:id="7"/>
      <w:r w:rsidRPr="00D763DC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402A" w:rsidRPr="00D763DC" w:rsidRDefault="00B31AD8">
      <w:pPr>
        <w:spacing w:after="0" w:line="264" w:lineRule="auto"/>
        <w:ind w:firstLine="600"/>
        <w:jc w:val="center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91402A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91402A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91402A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91402A" w:rsidRDefault="0091402A">
      <w:pPr>
        <w:sectPr w:rsidR="0091402A">
          <w:pgSz w:w="11906" w:h="16383"/>
          <w:pgMar w:top="1134" w:right="850" w:bottom="1134" w:left="1701" w:header="720" w:footer="720" w:gutter="0"/>
          <w:cols w:space="720"/>
        </w:sectPr>
      </w:pPr>
    </w:p>
    <w:p w:rsidR="0091402A" w:rsidRDefault="00B31AD8">
      <w:pPr>
        <w:spacing w:after="0" w:line="264" w:lineRule="auto"/>
        <w:ind w:left="120"/>
        <w:jc w:val="both"/>
      </w:pPr>
      <w:bookmarkStart w:id="8" w:name="block-237808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1402A" w:rsidRDefault="0091402A">
      <w:pPr>
        <w:spacing w:after="0" w:line="264" w:lineRule="auto"/>
        <w:ind w:left="120"/>
        <w:jc w:val="both"/>
      </w:pPr>
    </w:p>
    <w:p w:rsidR="0091402A" w:rsidRDefault="00B31A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1402A" w:rsidRDefault="0091402A">
      <w:pPr>
        <w:spacing w:after="0" w:line="264" w:lineRule="auto"/>
        <w:ind w:left="120"/>
        <w:jc w:val="both"/>
      </w:pPr>
    </w:p>
    <w:p w:rsidR="0091402A" w:rsidRDefault="00B31A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Всеобщая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1914–1945 </w:t>
      </w:r>
      <w:proofErr w:type="spellStart"/>
      <w:r>
        <w:rPr>
          <w:rFonts w:ascii="Times New Roman" w:hAnsi="Times New Roman"/>
          <w:b/>
          <w:color w:val="000000"/>
          <w:sz w:val="28"/>
        </w:rPr>
        <w:t>гг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A54F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(рекомендуется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изучать данную тему объединено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 темой «Россия в Первой мировой войне (1914–1918)» курса истории России).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Мир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Ютландское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proofErr w:type="gramStart"/>
      <w:r>
        <w:rPr>
          <w:rFonts w:ascii="Times New Roman" w:hAnsi="Times New Roman"/>
          <w:color w:val="000000"/>
          <w:sz w:val="28"/>
        </w:rPr>
        <w:t>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сражения, итоги).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Позиции европейских держав в отношении Испании. </w:t>
      </w:r>
      <w:r w:rsidRPr="00A54F56">
        <w:rPr>
          <w:rFonts w:ascii="Times New Roman" w:hAnsi="Times New Roman"/>
          <w:color w:val="000000"/>
          <w:sz w:val="28"/>
          <w:lang w:val="ru-RU"/>
        </w:rPr>
        <w:t>Советская помощь Испании. Оборона Мадрида. Поражение Испанской республики.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D763DC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</w:t>
      </w:r>
      <w:proofErr w:type="gramStart"/>
      <w:r w:rsidRPr="00D763D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Планы </w:t>
      </w:r>
      <w:proofErr w:type="spellStart"/>
      <w:r w:rsidRPr="00A54F56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A54F56">
        <w:rPr>
          <w:rFonts w:ascii="Times New Roman" w:hAnsi="Times New Roman"/>
          <w:color w:val="000000"/>
          <w:sz w:val="28"/>
          <w:lang w:val="ru-RU"/>
        </w:rPr>
        <w:t xml:space="preserve"> и Юнга.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proofErr w:type="spellStart"/>
      <w:r>
        <w:rPr>
          <w:rFonts w:ascii="Times New Roman" w:hAnsi="Times New Roman"/>
          <w:color w:val="000000"/>
          <w:sz w:val="28"/>
        </w:rPr>
        <w:t>Пакт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Бриана</w:t>
      </w:r>
      <w:proofErr w:type="spellEnd"/>
      <w:r>
        <w:rPr>
          <w:rFonts w:ascii="Times New Roman" w:hAnsi="Times New Roman"/>
          <w:color w:val="000000"/>
          <w:sz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</w:rPr>
        <w:t>Келлога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D763DC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курса истории России).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D763DC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63DC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Совнарком. ВЧК по борьбе с контрреволюцией и саботажем.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прод­отряды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белые реквизиции.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1921–1922 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Ликбезы. Пролетаризация вузов, организация рабфаков.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, в Поволжье и другие. Кронштадтское восстание.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б) к концу 1920‑х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54F56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крестьян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63DC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Строительство Московского метрополитена. Создание новых отраслей промышленности. Иностранные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Введение паспортной системы.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D763DC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Обновленческое движение в Церкви. Положение нехристианских конфессий.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A54F56">
        <w:rPr>
          <w:rFonts w:ascii="Times New Roman" w:hAnsi="Times New Roman"/>
          <w:color w:val="000000"/>
          <w:sz w:val="28"/>
          <w:lang w:val="ru-RU"/>
        </w:rPr>
        <w:t>Жизнь в деревне. Трудодни. Единоличники. Личные подсобные хозяйства колхозников.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Бессарабии, Северной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D763DC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ыму. Битва за Кавказ. Оборона Сталинграда. Дом Павлова. Окружение неприятельской группировки под Сталинградом и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A54F56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эвакуированным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>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D763DC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>ан Антигитлеровской коалиции. Встреча на Эльбе.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Битва за Берлин и окончание войны в Европе.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Висло-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D763DC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D763DC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повороты политического курса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рств в р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2010-х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Правоавторитарные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proofErr w:type="spellStart"/>
      <w:r>
        <w:rPr>
          <w:rFonts w:ascii="Times New Roman" w:hAnsi="Times New Roman"/>
          <w:color w:val="000000"/>
          <w:sz w:val="28"/>
        </w:rPr>
        <w:t>Договор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запрещении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ядерных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испытаний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трех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763DC">
        <w:rPr>
          <w:rFonts w:ascii="Times New Roman" w:hAnsi="Times New Roman"/>
          <w:color w:val="000000"/>
          <w:sz w:val="28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Глобальное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национальное в современной культуре.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Эйфория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Победы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Разруха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Обострение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жилищной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Репатриация. Рост беспризорности и решение проблем послевоенного детства.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лысенковщина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A54F56">
        <w:rPr>
          <w:rFonts w:ascii="Times New Roman" w:hAnsi="Times New Roman"/>
          <w:color w:val="000000"/>
          <w:sz w:val="28"/>
          <w:lang w:val="ru-RU"/>
        </w:rPr>
        <w:t>Коминформбюро</w:t>
      </w:r>
      <w:proofErr w:type="spellEnd"/>
      <w:r w:rsidRPr="00A54F56">
        <w:rPr>
          <w:rFonts w:ascii="Times New Roman" w:hAnsi="Times New Roman"/>
          <w:color w:val="000000"/>
          <w:sz w:val="28"/>
          <w:lang w:val="ru-RU"/>
        </w:rPr>
        <w:t>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Диссиденты. Самиздат и </w:t>
      </w:r>
      <w:proofErr w:type="spellStart"/>
      <w:r w:rsidRPr="00A54F56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A54F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D763DC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хрущевки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Рост доходов населения и дефицит товаров народного потребления.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Н.С. Хрущева. Оценка Хрущева и его реформ современниками и историками.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Замедление научно-технического прогресса в СССР.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Несуны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». Потребительские тенденции в советском обществе. Дефициты и очереди.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91402A" w:rsidRPr="00A54F56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Достижение военно-стратегического паритета с США.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десталинизации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Завершение холодной войны.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Ситуация на Северном Кавказе. Декларация о государственном суверенитете РСФСР.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Победа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Ельцина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Ослабление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союзной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Референдум о независимости Украины. Оформление фактического распада СССР. </w:t>
      </w:r>
      <w:r w:rsidRPr="00D763DC">
        <w:rPr>
          <w:rFonts w:ascii="Times New Roman" w:hAnsi="Times New Roman"/>
          <w:color w:val="000000"/>
          <w:sz w:val="28"/>
          <w:lang w:val="ru-RU"/>
        </w:rPr>
        <w:t>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приватизация.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Долларизация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экономики. Гиперинфляция, рост цен и падение жизненного уровня населения.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Безработица. Черный рынок и криминализация жизни.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proofErr w:type="spellStart"/>
      <w:r>
        <w:rPr>
          <w:rFonts w:ascii="Times New Roman" w:hAnsi="Times New Roman"/>
          <w:color w:val="000000"/>
          <w:sz w:val="28"/>
        </w:rPr>
        <w:t>Подписание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договора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(1992) и </w:t>
      </w:r>
      <w:proofErr w:type="spellStart"/>
      <w:r>
        <w:rPr>
          <w:rFonts w:ascii="Times New Roman" w:hAnsi="Times New Roman"/>
          <w:color w:val="000000"/>
          <w:sz w:val="28"/>
        </w:rPr>
        <w:t>отдельных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республиками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Взаимоотношения центра и субъектов Федерации. Опасность исламского фундаментализма.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Тенденции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деиндустриализации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Государственная Дума. Многопартийность. Политические партии и электорат.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Паралимпийские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(2014), успехи российских спортсменов, допинговые скандалы и их последствия для российского спорта.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</w:t>
      </w:r>
      <w:r w:rsidRPr="00A54F56">
        <w:rPr>
          <w:rFonts w:ascii="Times New Roman" w:hAnsi="Times New Roman"/>
          <w:color w:val="000000"/>
          <w:sz w:val="28"/>
          <w:lang w:val="ru-RU"/>
        </w:rPr>
        <w:t xml:space="preserve">Массовая автомобилизация. 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Военно-патриотические движения. Марш «Бессмертный полк». Празднование 75-летия Победы в Великой Отечественной войне (2020).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91402A" w:rsidRDefault="00B31AD8">
      <w:pPr>
        <w:spacing w:after="0" w:line="264" w:lineRule="auto"/>
        <w:ind w:firstLine="600"/>
        <w:jc w:val="both"/>
      </w:pPr>
      <w:r w:rsidRPr="00D763DC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proofErr w:type="spellStart"/>
      <w:r>
        <w:rPr>
          <w:rFonts w:ascii="Times New Roman" w:hAnsi="Times New Roman"/>
          <w:color w:val="000000"/>
          <w:sz w:val="28"/>
        </w:rPr>
        <w:t>Осетию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2008 г. (</w:t>
      </w:r>
      <w:proofErr w:type="spellStart"/>
      <w:r>
        <w:rPr>
          <w:rFonts w:ascii="Times New Roman" w:hAnsi="Times New Roman"/>
          <w:color w:val="000000"/>
          <w:sz w:val="28"/>
        </w:rPr>
        <w:t>операция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принуждению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миру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востребованность результатов их научной деятельности.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  <w:proofErr w:type="gramEnd"/>
    </w:p>
    <w:p w:rsidR="0091402A" w:rsidRPr="00D763DC" w:rsidRDefault="00B31AD8">
      <w:pPr>
        <w:spacing w:after="0" w:line="264" w:lineRule="auto"/>
        <w:ind w:firstLine="600"/>
        <w:jc w:val="center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9140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9140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9140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9140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9140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91402A" w:rsidRDefault="00B31A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proofErr w:type="gramStart"/>
      <w:r>
        <w:rPr>
          <w:rFonts w:ascii="Times New Roman" w:hAnsi="Times New Roman"/>
          <w:color w:val="000000"/>
          <w:sz w:val="28"/>
        </w:rPr>
        <w:t>X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>Х 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D763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модернизационные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402A" w:rsidRPr="00D763DC" w:rsidRDefault="0091402A">
      <w:pPr>
        <w:rPr>
          <w:lang w:val="ru-RU"/>
        </w:rPr>
        <w:sectPr w:rsidR="0091402A" w:rsidRPr="00D763DC">
          <w:pgSz w:w="11906" w:h="16383"/>
          <w:pgMar w:top="1134" w:right="850" w:bottom="1134" w:left="1701" w:header="720" w:footer="720" w:gutter="0"/>
          <w:cols w:space="720"/>
        </w:sect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bookmarkStart w:id="9" w:name="block-23780896"/>
      <w:bookmarkEnd w:id="8"/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социально­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экономических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процессов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среды, осознание глобального характера экологических проблем;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 эмоций с учетом позиций и мнений других участников общения). 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left="12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02A" w:rsidRPr="00D763DC" w:rsidRDefault="0091402A">
      <w:pPr>
        <w:spacing w:after="0" w:line="264" w:lineRule="auto"/>
        <w:ind w:left="120"/>
        <w:jc w:val="both"/>
        <w:rPr>
          <w:lang w:val="ru-RU"/>
        </w:rPr>
      </w:pP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ресурсов библиотек, музеев).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Современный мир: глобализация и </w:t>
      </w: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63D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63D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763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63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D763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63DC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63D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91402A" w:rsidRPr="00D763DC" w:rsidRDefault="00B31AD8">
      <w:pPr>
        <w:spacing w:after="0" w:line="264" w:lineRule="auto"/>
        <w:ind w:firstLine="600"/>
        <w:jc w:val="both"/>
        <w:rPr>
          <w:lang w:val="ru-RU"/>
        </w:rPr>
      </w:pPr>
      <w:r w:rsidRPr="00D763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91402A" w:rsidRPr="00D763DC" w:rsidRDefault="0091402A">
      <w:pPr>
        <w:rPr>
          <w:lang w:val="ru-RU"/>
        </w:rPr>
        <w:sectPr w:rsidR="0091402A" w:rsidRPr="00D763DC">
          <w:pgSz w:w="11906" w:h="16383"/>
          <w:pgMar w:top="1134" w:right="850" w:bottom="1134" w:left="1701" w:header="720" w:footer="720" w:gutter="0"/>
          <w:cols w:space="720"/>
        </w:sectPr>
      </w:pPr>
    </w:p>
    <w:p w:rsidR="0091402A" w:rsidRDefault="00B31AD8">
      <w:pPr>
        <w:spacing w:after="0"/>
        <w:ind w:left="120"/>
      </w:pPr>
      <w:bookmarkStart w:id="10" w:name="block-23780899"/>
      <w:bookmarkEnd w:id="9"/>
      <w:r w:rsidRPr="00D763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02A" w:rsidRDefault="00B31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9140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</w:tbl>
    <w:p w:rsidR="0091402A" w:rsidRDefault="0091402A">
      <w:pPr>
        <w:sectPr w:rsidR="0091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02A" w:rsidRDefault="00B31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91402A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 w:rsidRPr="00A54F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</w:tbl>
    <w:p w:rsidR="0091402A" w:rsidRDefault="0091402A">
      <w:pPr>
        <w:sectPr w:rsidR="0091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02A" w:rsidRDefault="0091402A">
      <w:pPr>
        <w:sectPr w:rsidR="0091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02A" w:rsidRDefault="00B31AD8">
      <w:pPr>
        <w:spacing w:after="0"/>
        <w:ind w:left="120"/>
      </w:pPr>
      <w:bookmarkStart w:id="11" w:name="block-237808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402A" w:rsidRDefault="00B31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9140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хронология революционных событий 1917 г.: 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</w:tbl>
    <w:p w:rsidR="0091402A" w:rsidRDefault="0091402A">
      <w:pPr>
        <w:sectPr w:rsidR="0091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02A" w:rsidRDefault="00B31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91402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02A" w:rsidRDefault="00914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02A" w:rsidRDefault="0091402A"/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1953–1964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1964–1985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1985–1991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proofErr w:type="spell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деиндустриализации</w:t>
            </w:r>
            <w:proofErr w:type="spell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1992–1999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период </w:t>
            </w:r>
            <w:proofErr w:type="spell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президенства</w:t>
            </w:r>
            <w:proofErr w:type="spell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и в урегулировании 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</w:t>
            </w:r>
            <w:proofErr w:type="gramStart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1402A" w:rsidRDefault="0091402A">
            <w:pPr>
              <w:spacing w:after="0"/>
              <w:ind w:left="135"/>
            </w:pPr>
          </w:p>
        </w:tc>
      </w:tr>
      <w:tr w:rsidR="00914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Pr="00D763DC" w:rsidRDefault="00B31AD8">
            <w:pPr>
              <w:spacing w:after="0"/>
              <w:ind w:left="135"/>
              <w:rPr>
                <w:lang w:val="ru-RU"/>
              </w:rPr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 w:rsidRPr="00D7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1402A" w:rsidRDefault="00B31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02A" w:rsidRDefault="0091402A"/>
        </w:tc>
      </w:tr>
    </w:tbl>
    <w:p w:rsidR="0091402A" w:rsidRDefault="0091402A">
      <w:pPr>
        <w:sectPr w:rsidR="0091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02A" w:rsidRDefault="0091402A">
      <w:pPr>
        <w:sectPr w:rsidR="00914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02A" w:rsidRDefault="00B31AD8">
      <w:pPr>
        <w:spacing w:after="0"/>
        <w:ind w:left="120"/>
      </w:pPr>
      <w:bookmarkStart w:id="12" w:name="block-237809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402A" w:rsidRDefault="00B31A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02A" w:rsidRDefault="00B31A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402A" w:rsidRDefault="00B31A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402A" w:rsidRDefault="00B31A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402A" w:rsidRDefault="00B31A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402A" w:rsidRDefault="00B31A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402A" w:rsidRDefault="0091402A">
      <w:pPr>
        <w:spacing w:after="0"/>
        <w:ind w:left="120"/>
      </w:pPr>
    </w:p>
    <w:p w:rsidR="0091402A" w:rsidRPr="00D763DC" w:rsidRDefault="00B31AD8">
      <w:pPr>
        <w:spacing w:after="0" w:line="480" w:lineRule="auto"/>
        <w:ind w:left="120"/>
        <w:rPr>
          <w:lang w:val="ru-RU"/>
        </w:rPr>
      </w:pPr>
      <w:r w:rsidRPr="00D763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02A" w:rsidRDefault="00B31A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402A" w:rsidRDefault="0091402A">
      <w:pPr>
        <w:sectPr w:rsidR="0091402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A5F54" w:rsidRDefault="00EA5F54"/>
    <w:sectPr w:rsidR="00EA5F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402A"/>
    <w:rsid w:val="0091402A"/>
    <w:rsid w:val="00A54F56"/>
    <w:rsid w:val="00B31AD8"/>
    <w:rsid w:val="00D763DC"/>
    <w:rsid w:val="00E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86</Pages>
  <Words>20379</Words>
  <Characters>116166</Characters>
  <Application>Microsoft Office Word</Application>
  <DocSecurity>0</DocSecurity>
  <Lines>968</Lines>
  <Paragraphs>272</Paragraphs>
  <ScaleCrop>false</ScaleCrop>
  <Company/>
  <LinksUpToDate>false</LinksUpToDate>
  <CharactersWithSpaces>136273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dcterms:created xsi:type="dcterms:W3CDTF">2023-09-19T12:21:00Z</dcterms:created>
  <dcterms:modified xsi:type="dcterms:W3CDTF">2025-01-15T12:42:00Z</dcterms:modified>
</cp:coreProperties>
</file>