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1C307B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1C307B">
        <w:rPr>
          <w:rFonts w:ascii="Times New Roman" w:hAnsi="Times New Roman" w:cs="Times New Roman"/>
          <w:sz w:val="28"/>
          <w:szCs w:val="28"/>
        </w:rPr>
        <w:t>15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1C3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3D0EA9" w:rsidRPr="003D0EA9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997">
        <w:rPr>
          <w:rFonts w:ascii="Times New Roman" w:hAnsi="Times New Roman" w:cs="Times New Roman"/>
          <w:b/>
          <w:sz w:val="28"/>
          <w:szCs w:val="28"/>
        </w:rPr>
        <w:t>процент –это сотая часть числа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1C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№1078,1080</w:t>
      </w:r>
      <w:bookmarkStart w:id="0" w:name="_GoBack"/>
      <w:bookmarkEnd w:id="0"/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2020-05-14T14:13:00Z</dcterms:created>
  <dcterms:modified xsi:type="dcterms:W3CDTF">2020-05-14T14:13:00Z</dcterms:modified>
</cp:coreProperties>
</file>